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AF7" w14:textId="5D3D2AD6" w:rsidR="0053350F" w:rsidRPr="000959FF" w:rsidRDefault="0053350F" w:rsidP="000959FF">
      <w:pPr>
        <w:pStyle w:val="Heading2"/>
        <w:pBdr>
          <w:bottom w:val="single" w:sz="4" w:space="1" w:color="auto"/>
        </w:pBdr>
        <w:rPr>
          <w:rFonts w:ascii="Georgia" w:hAnsi="Georgia"/>
          <w:color w:val="002060"/>
          <w:sz w:val="52"/>
        </w:rPr>
      </w:pPr>
      <w:r w:rsidRPr="000959FF">
        <w:rPr>
          <w:rFonts w:ascii="Georgia" w:hAnsi="Georgia"/>
          <w:noProof/>
          <w:color w:val="002060"/>
          <w:sz w:val="52"/>
          <w:lang w:eastAsia="en-GB"/>
        </w:rPr>
        <w:drawing>
          <wp:anchor distT="0" distB="0" distL="114300" distR="114300" simplePos="0" relativeHeight="251658240" behindDoc="0" locked="0" layoutInCell="1" allowOverlap="1" wp14:anchorId="45CBE5A7" wp14:editId="14DE1023">
            <wp:simplePos x="0" y="0"/>
            <wp:positionH relativeFrom="column">
              <wp:posOffset>5025801</wp:posOffset>
            </wp:positionH>
            <wp:positionV relativeFrom="paragraph">
              <wp:posOffset>-797858</wp:posOffset>
            </wp:positionV>
            <wp:extent cx="1714500" cy="1200150"/>
            <wp:effectExtent l="0" t="0" r="0" b="0"/>
            <wp:wrapNone/>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E43AB">
        <w:rPr>
          <w:rFonts w:ascii="Georgia" w:hAnsi="Georgia"/>
          <w:color w:val="002060"/>
          <w:sz w:val="52"/>
          <w:szCs w:val="52"/>
        </w:rPr>
        <w:t>SixI</w:t>
      </w:r>
      <w:r w:rsidR="00C04303" w:rsidRPr="1A7254B8">
        <w:rPr>
          <w:rFonts w:ascii="Georgia" w:hAnsi="Georgia"/>
          <w:color w:val="002060"/>
          <w:sz w:val="52"/>
          <w:szCs w:val="52"/>
        </w:rPr>
        <w:t>ntoSeven</w:t>
      </w:r>
      <w:proofErr w:type="spellEnd"/>
      <w:r w:rsidR="00C04303" w:rsidRPr="1A7254B8">
        <w:rPr>
          <w:rFonts w:ascii="Georgia" w:hAnsi="Georgia"/>
          <w:color w:val="002060"/>
          <w:sz w:val="52"/>
          <w:szCs w:val="52"/>
        </w:rPr>
        <w:t xml:space="preserve"> DPIA </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133"/>
        <w:gridCol w:w="5637"/>
      </w:tblGrid>
      <w:tr w:rsidR="00FF5EBD" w14:paraId="1090F3B5" w14:textId="77777777" w:rsidTr="00C04303">
        <w:tc>
          <w:tcPr>
            <w:tcW w:w="4219"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5775" w:type="dxa"/>
          </w:tcPr>
          <w:p w14:paraId="4E904AC3" w14:textId="3D7DBEE9" w:rsidR="00FF5EBD" w:rsidRPr="00FF5EBD" w:rsidRDefault="00C04303" w:rsidP="0053350F">
            <w:pPr>
              <w:rPr>
                <w:rFonts w:ascii="Verdana" w:hAnsi="Verdana"/>
                <w:lang w:val="en-US"/>
              </w:rPr>
            </w:pPr>
            <w:proofErr w:type="spellStart"/>
            <w:r w:rsidRPr="00C04303">
              <w:rPr>
                <w:rFonts w:ascii="Verdana" w:hAnsi="Verdana"/>
                <w:lang w:val="en-US"/>
              </w:rPr>
              <w:t>Eduboard</w:t>
            </w:r>
            <w:proofErr w:type="spellEnd"/>
            <w:r w:rsidRPr="00C04303">
              <w:rPr>
                <w:rFonts w:ascii="Verdana" w:hAnsi="Verdana"/>
                <w:lang w:val="en-US"/>
              </w:rPr>
              <w:t xml:space="preserve"> Ltd (Company Number 10570208) t/a </w:t>
            </w:r>
            <w:proofErr w:type="spellStart"/>
            <w:r w:rsidRPr="00C04303">
              <w:rPr>
                <w:rFonts w:ascii="Verdana" w:hAnsi="Verdana"/>
                <w:lang w:val="en-US"/>
              </w:rPr>
              <w:t>askEddi</w:t>
            </w:r>
            <w:proofErr w:type="spellEnd"/>
            <w:r w:rsidR="00D23645">
              <w:rPr>
                <w:rFonts w:ascii="Verdana" w:hAnsi="Verdana"/>
                <w:lang w:val="en-US"/>
              </w:rPr>
              <w:t>. ICO Registration</w:t>
            </w:r>
            <w:r w:rsidR="0074329E">
              <w:rPr>
                <w:rFonts w:ascii="Verdana" w:hAnsi="Verdana"/>
                <w:lang w:val="en-US"/>
              </w:rPr>
              <w:t xml:space="preserve"> </w:t>
            </w:r>
            <w:r w:rsidR="0074329E" w:rsidRPr="0074329E">
              <w:rPr>
                <w:rFonts w:ascii="Verdana" w:hAnsi="Verdana"/>
                <w:lang w:val="en-US"/>
              </w:rPr>
              <w:t>ZA278740</w:t>
            </w:r>
            <w:r w:rsidR="00D23645">
              <w:rPr>
                <w:rFonts w:ascii="Verdana" w:hAnsi="Verdana"/>
                <w:lang w:val="en-US"/>
              </w:rPr>
              <w:t xml:space="preserve"> </w:t>
            </w:r>
          </w:p>
        </w:tc>
      </w:tr>
      <w:tr w:rsidR="00FF5EBD" w14:paraId="10B3E05E" w14:textId="77777777" w:rsidTr="00C04303">
        <w:tc>
          <w:tcPr>
            <w:tcW w:w="4219"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5775" w:type="dxa"/>
          </w:tcPr>
          <w:p w14:paraId="3687BEEA" w14:textId="7F0FD0A8" w:rsidR="00FF5EBD" w:rsidRPr="00FF5EBD" w:rsidRDefault="00C04303" w:rsidP="0053350F">
            <w:pPr>
              <w:rPr>
                <w:rFonts w:ascii="Verdana" w:hAnsi="Verdana"/>
                <w:lang w:val="en-US"/>
              </w:rPr>
            </w:pPr>
            <w:r>
              <w:rPr>
                <w:rFonts w:ascii="Verdana" w:hAnsi="Verdana"/>
                <w:lang w:val="en-US"/>
              </w:rPr>
              <w:t>3</w:t>
            </w:r>
            <w:r w:rsidRPr="00C04303">
              <w:rPr>
                <w:rFonts w:ascii="Verdana" w:hAnsi="Verdana"/>
                <w:vertAlign w:val="superscript"/>
                <w:lang w:val="en-US"/>
              </w:rPr>
              <w:t>rd</w:t>
            </w:r>
            <w:r>
              <w:rPr>
                <w:rFonts w:ascii="Verdana" w:hAnsi="Verdana"/>
                <w:lang w:val="en-US"/>
              </w:rPr>
              <w:t xml:space="preserve"> party DPO service contracted by ASCL</w:t>
            </w:r>
          </w:p>
        </w:tc>
      </w:tr>
      <w:tr w:rsidR="00FF5EBD" w14:paraId="59618284" w14:textId="77777777" w:rsidTr="00C04303">
        <w:tc>
          <w:tcPr>
            <w:tcW w:w="4219" w:type="dxa"/>
          </w:tcPr>
          <w:p w14:paraId="7F79AC95" w14:textId="2A31D138" w:rsidR="00C04303" w:rsidRPr="00FF5EBD" w:rsidRDefault="00FF5EBD" w:rsidP="00C04303">
            <w:pPr>
              <w:rPr>
                <w:rFonts w:ascii="Verdana" w:hAnsi="Verdana"/>
                <w:lang w:val="en-US"/>
              </w:rPr>
            </w:pPr>
            <w:r w:rsidRPr="00FF5EBD">
              <w:rPr>
                <w:rFonts w:ascii="Verdana" w:hAnsi="Verdana"/>
                <w:lang w:val="en-US"/>
              </w:rPr>
              <w:t xml:space="preserve">Name of controller contact </w:t>
            </w:r>
          </w:p>
          <w:p w14:paraId="73C9715B" w14:textId="28148EEA" w:rsidR="00FF5EBD" w:rsidRPr="00FF5EBD" w:rsidRDefault="00FF5EBD" w:rsidP="0053350F">
            <w:pPr>
              <w:rPr>
                <w:rFonts w:ascii="Verdana" w:hAnsi="Verdana"/>
                <w:lang w:val="en-US"/>
              </w:rPr>
            </w:pPr>
          </w:p>
        </w:tc>
        <w:tc>
          <w:tcPr>
            <w:tcW w:w="5775" w:type="dxa"/>
          </w:tcPr>
          <w:p w14:paraId="120EB5CF" w14:textId="261DC830" w:rsidR="00FF5EBD" w:rsidRPr="00FF5EBD" w:rsidRDefault="00C04303" w:rsidP="0053350F">
            <w:pPr>
              <w:rPr>
                <w:rFonts w:ascii="Verdana" w:hAnsi="Verdana"/>
                <w:lang w:val="en-US"/>
              </w:rPr>
            </w:pPr>
            <w:r>
              <w:rPr>
                <w:rFonts w:ascii="Verdana" w:hAnsi="Verdana"/>
                <w:lang w:val="en-US"/>
              </w:rPr>
              <w:t>Brendon Nel</w:t>
            </w:r>
            <w:r w:rsidR="007773CC">
              <w:rPr>
                <w:rFonts w:ascii="Verdana" w:hAnsi="Verdana"/>
                <w:lang w:val="en-US"/>
              </w:rPr>
              <w:t>,</w:t>
            </w:r>
            <w:r>
              <w:rPr>
                <w:rFonts w:ascii="Verdana" w:hAnsi="Verdana"/>
                <w:lang w:val="en-US"/>
              </w:rPr>
              <w:t xml:space="preserve"> CEO </w:t>
            </w:r>
            <w:proofErr w:type="spellStart"/>
            <w:r>
              <w:rPr>
                <w:rFonts w:ascii="Verdana" w:hAnsi="Verdana"/>
                <w:lang w:val="en-US"/>
              </w:rPr>
              <w:t>Eduboard</w:t>
            </w:r>
            <w:proofErr w:type="spellEnd"/>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770"/>
      </w:tblGrid>
      <w:tr w:rsidR="00065783" w:rsidRPr="000959FF" w14:paraId="0829AB8C" w14:textId="77777777" w:rsidTr="004112EB">
        <w:tc>
          <w:tcPr>
            <w:tcW w:w="9994" w:type="dxa"/>
            <w:shd w:val="clear" w:color="auto" w:fill="F2F2F2" w:themeFill="background1" w:themeFillShade="F2"/>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23F7FC25" w14:textId="58FF778F" w:rsidR="00C04303" w:rsidRPr="00C04303" w:rsidRDefault="00C04303" w:rsidP="008B6E87">
            <w:pPr>
              <w:spacing w:before="120" w:after="120" w:line="276" w:lineRule="auto"/>
              <w:rPr>
                <w:rFonts w:ascii="Verdana" w:hAnsi="Verdana"/>
                <w:lang w:val="en-US"/>
              </w:rPr>
            </w:pPr>
            <w:r w:rsidRPr="00C04303">
              <w:rPr>
                <w:rFonts w:ascii="Verdana" w:hAnsi="Verdana"/>
                <w:lang w:val="en-US"/>
              </w:rPr>
              <w:t xml:space="preserve">The parties are participating in a project which is a rapid response to Covid-19 enabling a professional judgement of a pupil’s capability in certain subjects and skill areas in their final year of primary school, to be shared with a secondary school the pupil will attend. This allows the secondary school to prepare for the start of the new academic year, support curriculum design and identify learning needs of the year 7 cohort without the need for immediate testing to form a baseline. </w:t>
            </w:r>
            <w:proofErr w:type="spellStart"/>
            <w:r w:rsidRPr="00C04303">
              <w:rPr>
                <w:rFonts w:ascii="Verdana" w:hAnsi="Verdana"/>
                <w:lang w:val="en-US"/>
              </w:rPr>
              <w:t>Eduboard</w:t>
            </w:r>
            <w:proofErr w:type="spellEnd"/>
            <w:r w:rsidRPr="00C04303">
              <w:rPr>
                <w:rFonts w:ascii="Verdana" w:hAnsi="Verdana"/>
                <w:lang w:val="en-US"/>
              </w:rPr>
              <w:t xml:space="preserve"> provide the</w:t>
            </w:r>
            <w:r w:rsidR="00CE43AB">
              <w:rPr>
                <w:rFonts w:ascii="Verdana" w:hAnsi="Verdana"/>
                <w:lang w:val="en-US"/>
              </w:rPr>
              <w:t xml:space="preserve"> </w:t>
            </w:r>
            <w:proofErr w:type="spellStart"/>
            <w:r w:rsidR="00CE43AB">
              <w:rPr>
                <w:rFonts w:ascii="Verdana" w:hAnsi="Verdana"/>
                <w:lang w:val="en-US"/>
              </w:rPr>
              <w:t>SixI</w:t>
            </w:r>
            <w:r w:rsidRPr="00C04303">
              <w:rPr>
                <w:rFonts w:ascii="Verdana" w:hAnsi="Verdana"/>
                <w:lang w:val="en-US"/>
              </w:rPr>
              <w:t>ntoSeven</w:t>
            </w:r>
            <w:proofErr w:type="spellEnd"/>
            <w:r w:rsidRPr="00C04303">
              <w:rPr>
                <w:rFonts w:ascii="Verdana" w:hAnsi="Verdana"/>
                <w:lang w:val="en-US"/>
              </w:rPr>
              <w:t xml:space="preserve"> platform</w:t>
            </w:r>
            <w:r>
              <w:rPr>
                <w:rFonts w:ascii="Verdana" w:hAnsi="Verdana"/>
                <w:lang w:val="en-US"/>
              </w:rPr>
              <w:t xml:space="preserve"> on the </w:t>
            </w:r>
            <w:proofErr w:type="spellStart"/>
            <w:r>
              <w:rPr>
                <w:rFonts w:ascii="Verdana" w:hAnsi="Verdana"/>
                <w:lang w:val="en-US"/>
              </w:rPr>
              <w:t>OpenDataProject</w:t>
            </w:r>
            <w:proofErr w:type="spellEnd"/>
            <w:r>
              <w:rPr>
                <w:rFonts w:ascii="Verdana" w:hAnsi="Verdana"/>
                <w:lang w:val="en-US"/>
              </w:rPr>
              <w:t xml:space="preserve"> Website</w:t>
            </w:r>
            <w:r w:rsidRPr="00C04303">
              <w:rPr>
                <w:rFonts w:ascii="Verdana" w:hAnsi="Verdana"/>
                <w:lang w:val="en-US"/>
              </w:rPr>
              <w:t xml:space="preserve"> to deliver an alternative means of assessing the pupils.</w:t>
            </w:r>
            <w:r>
              <w:rPr>
                <w:rFonts w:ascii="Verdana" w:hAnsi="Verdana"/>
                <w:lang w:val="en-US"/>
              </w:rPr>
              <w:t xml:space="preserve"> </w:t>
            </w:r>
            <w:r w:rsidRPr="00C04303">
              <w:rPr>
                <w:rFonts w:ascii="Verdana" w:hAnsi="Verdana"/>
                <w:lang w:val="en-US"/>
              </w:rPr>
              <w:t>https://opendataproject.org.uk/sixintoseven/</w:t>
            </w:r>
          </w:p>
          <w:p w14:paraId="5B5BF152" w14:textId="0FB44447" w:rsidR="0049238C" w:rsidRPr="000959FF" w:rsidRDefault="00C04303" w:rsidP="008B6E87">
            <w:pPr>
              <w:spacing w:before="120" w:after="120" w:line="276" w:lineRule="auto"/>
              <w:rPr>
                <w:rFonts w:ascii="Verdana" w:hAnsi="Verdana"/>
                <w:lang w:val="en-US"/>
              </w:rPr>
            </w:pPr>
            <w:r w:rsidRPr="00C04303">
              <w:rPr>
                <w:rFonts w:ascii="Verdana" w:hAnsi="Verdana"/>
                <w:lang w:val="en-US"/>
              </w:rPr>
              <w:t>Through a matching process in the system</w:t>
            </w:r>
            <w:r w:rsidR="007773CC">
              <w:rPr>
                <w:rFonts w:ascii="Verdana" w:hAnsi="Verdana"/>
                <w:lang w:val="en-US"/>
              </w:rPr>
              <w:t>,</w:t>
            </w:r>
            <w:r w:rsidRPr="00C04303">
              <w:rPr>
                <w:rFonts w:ascii="Verdana" w:hAnsi="Verdana"/>
                <w:lang w:val="en-US"/>
              </w:rPr>
              <w:t xml:space="preserve"> a requesting Secondary school’s pupil identifier made up of UPN or DOB and names will be used. This will identify a corresponding record provided by a Primary school and provide the data in the Secondary schools’ dashboard. This dashboard will download to a csv file for school use</w:t>
            </w:r>
            <w:r>
              <w:rPr>
                <w:rFonts w:ascii="Verdana" w:hAnsi="Verdana"/>
                <w:lang w:val="en-US"/>
              </w:rPr>
              <w:t>.</w:t>
            </w:r>
          </w:p>
        </w:tc>
      </w:tr>
    </w:tbl>
    <w:p w14:paraId="515BBFE1" w14:textId="5CA58A32"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CF39D4" w:rsidRPr="000959FF" w14:paraId="5E6D4D3F" w14:textId="77777777" w:rsidTr="23CF1510">
        <w:tc>
          <w:tcPr>
            <w:tcW w:w="9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23CF1510">
        <w:trPr>
          <w:trHeight w:val="6227"/>
        </w:trPr>
        <w:tc>
          <w:tcPr>
            <w:tcW w:w="9994" w:type="dxa"/>
            <w:tcBorders>
              <w:top w:val="single" w:sz="4" w:space="0" w:color="auto"/>
            </w:tcBorders>
          </w:tcPr>
          <w:p w14:paraId="73F3D77F" w14:textId="311A4B85" w:rsidR="00813D91" w:rsidRPr="000959FF" w:rsidRDefault="00EC1D72" w:rsidP="00FA2A9A">
            <w:pPr>
              <w:keepNext/>
              <w:spacing w:before="120" w:after="120"/>
              <w:rPr>
                <w:rFonts w:ascii="Verdana" w:hAnsi="Verdana"/>
                <w:lang w:val="en-US"/>
              </w:rPr>
            </w:pPr>
            <w:r>
              <w:rPr>
                <w:noProof/>
              </w:rPr>
              <w:drawing>
                <wp:inline distT="0" distB="0" distL="0" distR="0" wp14:anchorId="52B772DD" wp14:editId="314C17B5">
                  <wp:extent cx="6210298" cy="6758938"/>
                  <wp:effectExtent l="0" t="0" r="0" b="3810"/>
                  <wp:docPr id="19777296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6210298" cy="6758938"/>
                          </a:xfrm>
                          <a:prstGeom prst="rect">
                            <a:avLst/>
                          </a:prstGeom>
                        </pic:spPr>
                      </pic:pic>
                    </a:graphicData>
                  </a:graphic>
                </wp:inline>
              </w:drawing>
            </w:r>
          </w:p>
        </w:tc>
      </w:tr>
    </w:tbl>
    <w:p w14:paraId="65CD6064" w14:textId="2DFFB11B" w:rsidR="00CF39D4" w:rsidRPr="000959FF" w:rsidRDefault="00CF39D4" w:rsidP="00CF39D4">
      <w:pPr>
        <w:spacing w:line="240" w:lineRule="auto"/>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CF39D4" w:rsidRPr="000959FF" w14:paraId="48784EBA" w14:textId="77777777" w:rsidTr="23CF1510">
        <w:tc>
          <w:tcPr>
            <w:tcW w:w="9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7D378" w14:textId="61C36BDA" w:rsidR="00CF39D4" w:rsidRPr="00FA2A9A" w:rsidRDefault="00CF39D4" w:rsidP="00FA2A9A">
            <w:pPr>
              <w:keepNext/>
              <w:spacing w:before="120" w:after="120"/>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23CF1510">
        <w:trPr>
          <w:trHeight w:val="5102"/>
        </w:trPr>
        <w:tc>
          <w:tcPr>
            <w:tcW w:w="9994" w:type="dxa"/>
            <w:tcBorders>
              <w:top w:val="single" w:sz="4" w:space="0" w:color="auto"/>
            </w:tcBorders>
          </w:tcPr>
          <w:p w14:paraId="74FBD152" w14:textId="36A8169D" w:rsidR="00565472" w:rsidRDefault="00565472" w:rsidP="00441F5B">
            <w:pPr>
              <w:spacing w:before="120" w:after="120"/>
              <w:rPr>
                <w:noProof/>
              </w:rPr>
            </w:pPr>
            <w:r>
              <w:rPr>
                <w:noProof/>
              </w:rPr>
              <w:drawing>
                <wp:anchor distT="0" distB="0" distL="114300" distR="114300" simplePos="0" relativeHeight="251658241" behindDoc="0" locked="0" layoutInCell="1" allowOverlap="1" wp14:anchorId="7A21658A" wp14:editId="3123F7FC">
                  <wp:simplePos x="0" y="0"/>
                  <wp:positionH relativeFrom="column">
                    <wp:posOffset>650931</wp:posOffset>
                  </wp:positionH>
                  <wp:positionV relativeFrom="paragraph">
                    <wp:posOffset>186690</wp:posOffset>
                  </wp:positionV>
                  <wp:extent cx="4476750" cy="1808552"/>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0" cy="1808552"/>
                          </a:xfrm>
                          <a:prstGeom prst="rect">
                            <a:avLst/>
                          </a:prstGeom>
                        </pic:spPr>
                      </pic:pic>
                    </a:graphicData>
                  </a:graphic>
                  <wp14:sizeRelH relativeFrom="margin">
                    <wp14:pctWidth>0</wp14:pctWidth>
                  </wp14:sizeRelH>
                  <wp14:sizeRelV relativeFrom="margin">
                    <wp14:pctHeight>0</wp14:pctHeight>
                  </wp14:sizeRelV>
                </wp:anchor>
              </w:drawing>
            </w:r>
          </w:p>
          <w:p w14:paraId="18B964C8" w14:textId="22D3E941" w:rsidR="00565472" w:rsidRDefault="00565472" w:rsidP="00441F5B">
            <w:pPr>
              <w:spacing w:before="120" w:after="120"/>
              <w:rPr>
                <w:rFonts w:ascii="Verdana" w:hAnsi="Verdana"/>
                <w:lang w:val="en-US"/>
              </w:rPr>
            </w:pPr>
          </w:p>
          <w:p w14:paraId="34E259FD" w14:textId="3EBEADC9" w:rsidR="00565472" w:rsidRDefault="00565472" w:rsidP="00441F5B">
            <w:pPr>
              <w:spacing w:before="120" w:after="120"/>
              <w:rPr>
                <w:rFonts w:ascii="Verdana" w:hAnsi="Verdana"/>
                <w:lang w:val="en-US"/>
              </w:rPr>
            </w:pPr>
          </w:p>
          <w:p w14:paraId="6AA30C02" w14:textId="7A7AEDF0" w:rsidR="00565472" w:rsidRDefault="00565472" w:rsidP="00441F5B">
            <w:pPr>
              <w:spacing w:before="120" w:after="120"/>
              <w:rPr>
                <w:rFonts w:ascii="Verdana" w:hAnsi="Verdana"/>
                <w:lang w:val="en-US"/>
              </w:rPr>
            </w:pPr>
          </w:p>
          <w:p w14:paraId="0C10A569" w14:textId="645E3513" w:rsidR="00565472" w:rsidRDefault="00565472" w:rsidP="00441F5B">
            <w:pPr>
              <w:spacing w:before="120" w:after="120"/>
              <w:rPr>
                <w:rFonts w:ascii="Verdana" w:hAnsi="Verdana"/>
                <w:lang w:val="en-US"/>
              </w:rPr>
            </w:pPr>
          </w:p>
          <w:p w14:paraId="75A66A35" w14:textId="55E18CF4" w:rsidR="00565472" w:rsidRDefault="00565472" w:rsidP="00441F5B">
            <w:pPr>
              <w:spacing w:before="120" w:after="120"/>
              <w:rPr>
                <w:rFonts w:ascii="Verdana" w:hAnsi="Verdana"/>
                <w:lang w:val="en-US"/>
              </w:rPr>
            </w:pPr>
          </w:p>
          <w:p w14:paraId="0C4574E2" w14:textId="76680E73" w:rsidR="00565472" w:rsidRDefault="00565472" w:rsidP="00441F5B">
            <w:pPr>
              <w:spacing w:before="120" w:after="120"/>
              <w:rPr>
                <w:rFonts w:ascii="Verdana" w:hAnsi="Verdana"/>
                <w:lang w:val="en-US"/>
              </w:rPr>
            </w:pPr>
          </w:p>
          <w:p w14:paraId="716C022A" w14:textId="378A276B" w:rsidR="00565472" w:rsidRDefault="00565472" w:rsidP="00441F5B">
            <w:pPr>
              <w:spacing w:before="120" w:after="120"/>
              <w:rPr>
                <w:rFonts w:ascii="Verdana" w:hAnsi="Verdana"/>
                <w:lang w:val="en-US"/>
              </w:rPr>
            </w:pPr>
          </w:p>
          <w:p w14:paraId="1D0A744F" w14:textId="256D8D96" w:rsidR="00565472" w:rsidRPr="00565472" w:rsidRDefault="00565472" w:rsidP="008B6E87">
            <w:pPr>
              <w:spacing w:before="120" w:after="120" w:line="276" w:lineRule="auto"/>
              <w:rPr>
                <w:rFonts w:ascii="Verdana" w:hAnsi="Verdana"/>
                <w:sz w:val="22"/>
                <w:szCs w:val="22"/>
                <w:lang w:val="en-US"/>
              </w:rPr>
            </w:pPr>
            <w:r w:rsidRPr="00565472">
              <w:rPr>
                <w:rFonts w:ascii="Verdana" w:hAnsi="Verdana"/>
                <w:sz w:val="22"/>
                <w:szCs w:val="22"/>
                <w:lang w:val="en-US"/>
              </w:rPr>
              <w:t>The project will be, after a consultation and trial period, available nationally, to any subscribing secondary school, along with its partner / feeder primaries.</w:t>
            </w:r>
          </w:p>
          <w:p w14:paraId="351CA93B" w14:textId="69B9B087" w:rsidR="00565472" w:rsidRDefault="00565472" w:rsidP="008B6E87">
            <w:pPr>
              <w:spacing w:before="120" w:after="120" w:line="276" w:lineRule="auto"/>
              <w:rPr>
                <w:rFonts w:ascii="Verdana" w:hAnsi="Verdana"/>
                <w:lang w:val="en-US"/>
              </w:rPr>
            </w:pPr>
            <w:r>
              <w:rPr>
                <w:rFonts w:ascii="Verdana" w:hAnsi="Verdana"/>
                <w:lang w:val="en-US"/>
              </w:rPr>
              <w:t>The data collected and process</w:t>
            </w:r>
            <w:r w:rsidR="00535910">
              <w:rPr>
                <w:rFonts w:ascii="Verdana" w:hAnsi="Verdana"/>
                <w:lang w:val="en-US"/>
              </w:rPr>
              <w:t>ed</w:t>
            </w:r>
            <w:r>
              <w:rPr>
                <w:rFonts w:ascii="Verdana" w:hAnsi="Verdana"/>
                <w:lang w:val="en-US"/>
              </w:rPr>
              <w:t xml:space="preserve"> can be categorized as follows:</w:t>
            </w:r>
          </w:p>
          <w:tbl>
            <w:tblPr>
              <w:tblStyle w:val="TableGrid"/>
              <w:tblW w:w="0" w:type="auto"/>
              <w:tblLook w:val="04A0" w:firstRow="1" w:lastRow="0" w:firstColumn="1" w:lastColumn="0" w:noHBand="0" w:noVBand="1"/>
            </w:tblPr>
            <w:tblGrid>
              <w:gridCol w:w="5132"/>
              <w:gridCol w:w="4394"/>
            </w:tblGrid>
            <w:tr w:rsidR="00565472" w:rsidRPr="00565472" w14:paraId="725C4DD4" w14:textId="77777777" w:rsidTr="1A7254B8">
              <w:trPr>
                <w:trHeight w:val="80"/>
              </w:trPr>
              <w:tc>
                <w:tcPr>
                  <w:tcW w:w="5132" w:type="dxa"/>
                  <w:shd w:val="clear" w:color="auto" w:fill="EEECE1" w:themeFill="background2"/>
                </w:tcPr>
                <w:p w14:paraId="76C4C31A" w14:textId="04F48B3F"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Business Data</w:t>
                  </w:r>
                </w:p>
              </w:tc>
              <w:tc>
                <w:tcPr>
                  <w:tcW w:w="4394" w:type="dxa"/>
                  <w:shd w:val="clear" w:color="auto" w:fill="EEECE1" w:themeFill="background2"/>
                </w:tcPr>
                <w:p w14:paraId="757DB381" w14:textId="77777777"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School Data</w:t>
                  </w:r>
                </w:p>
              </w:tc>
            </w:tr>
            <w:tr w:rsidR="00565472" w:rsidRPr="00565472" w14:paraId="4457A015" w14:textId="77777777" w:rsidTr="1A7254B8">
              <w:trPr>
                <w:trHeight w:val="80"/>
              </w:trPr>
              <w:tc>
                <w:tcPr>
                  <w:tcW w:w="5132" w:type="dxa"/>
                </w:tcPr>
                <w:p w14:paraId="5A22A27E" w14:textId="77777777"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 xml:space="preserve">•Users’ names and contact information (including email addresses); </w:t>
                  </w:r>
                </w:p>
                <w:p w14:paraId="7DC0ABF0" w14:textId="77777777"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•Details of interactions that the School has with the Company regarding the Product, together with any other information that the School and chooses to provide the Company with, for example, through correspondence and interactions with our customer and technical support teams</w:t>
                  </w:r>
                </w:p>
                <w:p w14:paraId="6391132B" w14:textId="77777777"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 xml:space="preserve">•Information collected automatically relating to the Product to include information </w:t>
                  </w:r>
                  <w:proofErr w:type="spellStart"/>
                  <w:r w:rsidRPr="00565472">
                    <w:rPr>
                      <w:rFonts w:ascii="Verdana" w:hAnsi="Verdana" w:cstheme="minorHAnsi"/>
                      <w:sz w:val="22"/>
                      <w:szCs w:val="22"/>
                    </w:rPr>
                    <w:t>eg</w:t>
                  </w:r>
                  <w:proofErr w:type="spellEnd"/>
                  <w:r w:rsidRPr="00565472">
                    <w:rPr>
                      <w:rFonts w:ascii="Verdana" w:hAnsi="Verdana" w:cstheme="minorHAnsi"/>
                      <w:sz w:val="22"/>
                      <w:szCs w:val="22"/>
                    </w:rPr>
                    <w:t xml:space="preserve"> a user’s IP address, device type, unique device identification numbers and login information, browser-type and version, time zone setting, operating system and platform, broad geographic location (e.g. country or city-level location) and other technical information;</w:t>
                  </w:r>
                </w:p>
                <w:p w14:paraId="430F2C17" w14:textId="7B2A1ABB"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•Information collected automatically relating to the Product about how a User’s device has interacted with the Site, including the pages accessed and links clicked, download errors, length of visits to certain pages, page interaction information, and methods used to browse away from any page.</w:t>
                  </w:r>
                </w:p>
              </w:tc>
              <w:tc>
                <w:tcPr>
                  <w:tcW w:w="4394" w:type="dxa"/>
                </w:tcPr>
                <w:p w14:paraId="381B52D6" w14:textId="77777777"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•School name and contact information (including school postal address, phone number and email address),</w:t>
                  </w:r>
                </w:p>
                <w:p w14:paraId="0B45A57A" w14:textId="77777777" w:rsidR="00565472" w:rsidRPr="00565472" w:rsidRDefault="00565472" w:rsidP="00565472">
                  <w:pPr>
                    <w:rPr>
                      <w:rFonts w:ascii="Verdana" w:hAnsi="Verdana" w:cstheme="minorHAnsi"/>
                      <w:sz w:val="22"/>
                      <w:szCs w:val="22"/>
                    </w:rPr>
                  </w:pPr>
                  <w:r w:rsidRPr="00565472">
                    <w:rPr>
                      <w:rFonts w:ascii="Verdana" w:hAnsi="Verdana" w:cstheme="minorHAnsi"/>
                      <w:sz w:val="22"/>
                      <w:szCs w:val="22"/>
                    </w:rPr>
                    <w:t xml:space="preserve">•pupils’ first, middle and last names, </w:t>
                  </w:r>
                </w:p>
                <w:p w14:paraId="09E9E29C" w14:textId="2A6CA6BC" w:rsidR="00565472" w:rsidRPr="00565472" w:rsidRDefault="00565472" w:rsidP="1A7254B8">
                  <w:pPr>
                    <w:rPr>
                      <w:rFonts w:ascii="Verdana" w:hAnsi="Verdana" w:cstheme="minorBidi"/>
                      <w:sz w:val="22"/>
                      <w:szCs w:val="22"/>
                    </w:rPr>
                  </w:pPr>
                  <w:r w:rsidRPr="1A7254B8">
                    <w:rPr>
                      <w:rFonts w:ascii="Verdana" w:hAnsi="Verdana" w:cstheme="minorBidi"/>
                      <w:sz w:val="22"/>
                      <w:szCs w:val="22"/>
                    </w:rPr>
                    <w:t>Unique Pupil Number (UPN), dates of birth, class year groups, professional judgement</w:t>
                  </w:r>
                  <w:r w:rsidR="77097367" w:rsidRPr="1A7254B8">
                    <w:rPr>
                      <w:rFonts w:ascii="Verdana" w:hAnsi="Verdana" w:cstheme="minorBidi"/>
                      <w:sz w:val="22"/>
                      <w:szCs w:val="22"/>
                    </w:rPr>
                    <w:t xml:space="preserve"> of pupil attainment</w:t>
                  </w:r>
                  <w:r w:rsidRPr="1A7254B8">
                    <w:rPr>
                      <w:rFonts w:ascii="Verdana" w:hAnsi="Verdana" w:cstheme="minorBidi"/>
                      <w:sz w:val="22"/>
                      <w:szCs w:val="22"/>
                    </w:rPr>
                    <w:t>, ‘contact required’ marker.</w:t>
                  </w:r>
                </w:p>
                <w:p w14:paraId="6CA7315E" w14:textId="77777777" w:rsidR="00565472" w:rsidRPr="00565472" w:rsidRDefault="00565472" w:rsidP="00565472">
                  <w:pPr>
                    <w:rPr>
                      <w:rFonts w:ascii="Verdana" w:hAnsi="Verdana" w:cstheme="minorHAnsi"/>
                      <w:sz w:val="22"/>
                      <w:szCs w:val="22"/>
                    </w:rPr>
                  </w:pPr>
                </w:p>
                <w:p w14:paraId="651DD3EA" w14:textId="77777777" w:rsidR="00565472" w:rsidRPr="00565472" w:rsidRDefault="00565472" w:rsidP="00565472">
                  <w:pPr>
                    <w:rPr>
                      <w:rFonts w:ascii="Verdana" w:hAnsi="Verdana" w:cstheme="minorHAnsi"/>
                      <w:sz w:val="22"/>
                      <w:szCs w:val="22"/>
                    </w:rPr>
                  </w:pPr>
                </w:p>
              </w:tc>
            </w:tr>
          </w:tbl>
          <w:p w14:paraId="6E54E1B8" w14:textId="7118534A" w:rsidR="00FA2A9A" w:rsidRPr="000959FF" w:rsidRDefault="00565472" w:rsidP="00441F5B">
            <w:pPr>
              <w:spacing w:before="120" w:after="120"/>
              <w:rPr>
                <w:rFonts w:ascii="Verdana" w:hAnsi="Verdana"/>
                <w:lang w:val="en-US"/>
              </w:rPr>
            </w:pPr>
            <w:r>
              <w:rPr>
                <w:rFonts w:ascii="Verdana" w:hAnsi="Verdana"/>
                <w:lang w:val="en-US"/>
              </w:rPr>
              <w:t xml:space="preserve">No </w:t>
            </w:r>
            <w:r w:rsidR="00F1444D">
              <w:rPr>
                <w:rFonts w:ascii="Verdana" w:hAnsi="Verdana"/>
                <w:lang w:val="en-US"/>
              </w:rPr>
              <w:t xml:space="preserve">school </w:t>
            </w:r>
            <w:r>
              <w:rPr>
                <w:rFonts w:ascii="Verdana" w:hAnsi="Verdana"/>
                <w:lang w:val="en-US"/>
              </w:rPr>
              <w:t>data will be retained by us beyond 31</w:t>
            </w:r>
            <w:r w:rsidRPr="00565472">
              <w:rPr>
                <w:rFonts w:ascii="Verdana" w:hAnsi="Verdana"/>
                <w:vertAlign w:val="superscript"/>
                <w:lang w:val="en-US"/>
              </w:rPr>
              <w:t>st</w:t>
            </w:r>
            <w:r>
              <w:rPr>
                <w:rFonts w:ascii="Verdana" w:hAnsi="Verdana"/>
                <w:lang w:val="en-US"/>
              </w:rPr>
              <w:t xml:space="preserve"> July 2021.</w:t>
            </w: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318435B5" w14:textId="77777777" w:rsidTr="004112EB">
        <w:tc>
          <w:tcPr>
            <w:tcW w:w="9994" w:type="dxa"/>
            <w:shd w:val="clear" w:color="auto" w:fill="F2F2F2" w:themeFill="background1" w:themeFillShade="F2"/>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5B549252" w14:textId="337D7052" w:rsidR="0023368D" w:rsidRDefault="0023368D" w:rsidP="008B6E87">
            <w:pPr>
              <w:spacing w:before="120" w:after="120" w:line="276" w:lineRule="auto"/>
              <w:rPr>
                <w:rFonts w:ascii="Verdana" w:hAnsi="Verdana"/>
                <w:lang w:val="en-US"/>
              </w:rPr>
            </w:pPr>
            <w:r>
              <w:rPr>
                <w:rFonts w:ascii="Verdana" w:hAnsi="Verdana"/>
                <w:lang w:val="en-US"/>
              </w:rPr>
              <w:t>In the normal course of events, Secondary Schools would receive Standard Assessment Test (SATs) results for their new y7 intake.  The Covid19 outbreak has seen the cancellation of all external examination series and so the current y6 cohort have not undertaken SATs.  As a consequence the Secondary schools will have an intake who not only have suffered from an unprecedented disruption in schooling, but also without the foundation of performance data to allow them to plan, support and meet the needs of this extraordinary cohort.</w:t>
            </w:r>
          </w:p>
          <w:p w14:paraId="0328136A" w14:textId="77777777" w:rsidR="0023368D" w:rsidRDefault="0023368D" w:rsidP="008B6E87">
            <w:pPr>
              <w:spacing w:before="120" w:after="120" w:line="276" w:lineRule="auto"/>
              <w:rPr>
                <w:rFonts w:ascii="Verdana" w:hAnsi="Verdana"/>
                <w:lang w:val="en-US"/>
              </w:rPr>
            </w:pPr>
            <w:r>
              <w:rPr>
                <w:rFonts w:ascii="Verdana" w:hAnsi="Verdana"/>
                <w:lang w:val="en-US"/>
              </w:rPr>
              <w:t>We have built a platform to facilitate primary teachers’ professional judgement to be shared with their secondary colleagues to enable the appropriate planning and support to be available for this cohort on entry into Y7.</w:t>
            </w:r>
          </w:p>
          <w:p w14:paraId="73AE88EF" w14:textId="4CD17B9F" w:rsidR="00CA3237" w:rsidRDefault="00CA3237" w:rsidP="008B6E87">
            <w:pPr>
              <w:spacing w:before="120" w:after="120" w:line="276" w:lineRule="auto"/>
              <w:rPr>
                <w:rFonts w:ascii="Verdana" w:hAnsi="Verdana"/>
                <w:lang w:val="en-US"/>
              </w:rPr>
            </w:pPr>
            <w:r>
              <w:rPr>
                <w:rFonts w:ascii="Verdana" w:hAnsi="Verdana"/>
                <w:lang w:val="en-US"/>
              </w:rPr>
              <w:t>We are confident that parents expect there to be communication between schools in order to facilitate a seamless transition into secondary education, now more than ever.</w:t>
            </w:r>
          </w:p>
          <w:p w14:paraId="6E4AD713" w14:textId="77777777" w:rsidR="0023368D" w:rsidRDefault="0023368D" w:rsidP="008B6E87">
            <w:pPr>
              <w:spacing w:before="120" w:after="120" w:line="276" w:lineRule="auto"/>
              <w:rPr>
                <w:rFonts w:ascii="Verdana" w:hAnsi="Verdana"/>
                <w:lang w:val="en-US"/>
              </w:rPr>
            </w:pPr>
          </w:p>
          <w:p w14:paraId="6A7FF993" w14:textId="5DDC58CF" w:rsidR="007E352D" w:rsidRPr="000959FF" w:rsidRDefault="00CA3237" w:rsidP="008B6E87">
            <w:pPr>
              <w:spacing w:before="120" w:after="120" w:line="276" w:lineRule="auto"/>
              <w:rPr>
                <w:rFonts w:ascii="Verdana" w:hAnsi="Verdana"/>
                <w:lang w:val="en-US"/>
              </w:rPr>
            </w:pPr>
            <w:r w:rsidRPr="00A72219">
              <w:rPr>
                <w:rFonts w:ascii="Verdana" w:hAnsi="Verdana"/>
                <w:lang w:val="en-US"/>
              </w:rPr>
              <w:t>We are Cyber Essentials Certified</w:t>
            </w:r>
          </w:p>
        </w:tc>
      </w:tr>
    </w:tbl>
    <w:p w14:paraId="6BE49E45" w14:textId="7324CB3D" w:rsidR="008B6E87" w:rsidRDefault="008B6E87" w:rsidP="00441F5B">
      <w:pPr>
        <w:spacing w:line="240" w:lineRule="auto"/>
        <w:rPr>
          <w:sz w:val="24"/>
          <w:szCs w:val="24"/>
          <w:lang w:val="en-US"/>
        </w:rPr>
      </w:pPr>
    </w:p>
    <w:p w14:paraId="6595D8A5" w14:textId="77777777" w:rsidR="008B6E87" w:rsidRDefault="008B6E87">
      <w:pPr>
        <w:spacing w:after="200"/>
        <w:rPr>
          <w:sz w:val="24"/>
          <w:szCs w:val="24"/>
          <w:lang w:val="en-US"/>
        </w:rPr>
      </w:pPr>
      <w:r>
        <w:rPr>
          <w:sz w:val="24"/>
          <w:szCs w:val="24"/>
          <w:lang w:val="en-US"/>
        </w:rPr>
        <w:br w:type="page"/>
      </w:r>
    </w:p>
    <w:p w14:paraId="5F44F2D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48406D3B" w14:textId="77777777" w:rsidTr="004112EB">
        <w:tc>
          <w:tcPr>
            <w:tcW w:w="9994" w:type="dxa"/>
            <w:shd w:val="clear" w:color="auto" w:fill="F2F2F2" w:themeFill="background1" w:themeFillShade="F2"/>
          </w:tcPr>
          <w:p w14:paraId="3C98AD62" w14:textId="2AFF4BA7" w:rsidR="00441F5B" w:rsidRPr="007E352D" w:rsidRDefault="00441F5B" w:rsidP="008B6E87">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32B2B42D" w14:textId="77777777" w:rsidR="008B6E87" w:rsidRDefault="008B6E87" w:rsidP="008B6E87">
            <w:pPr>
              <w:spacing w:before="120" w:after="120" w:line="276" w:lineRule="auto"/>
              <w:rPr>
                <w:rFonts w:ascii="Verdana" w:eastAsiaTheme="minorHAnsi" w:hAnsi="Verdana" w:cstheme="minorBidi"/>
                <w:szCs w:val="22"/>
                <w:lang w:val="en-US" w:eastAsia="en-US"/>
              </w:rPr>
            </w:pPr>
            <w:r w:rsidRPr="00CA3237">
              <w:rPr>
                <w:rFonts w:ascii="Verdana" w:hAnsi="Verdana"/>
                <w:lang w:val="en-US"/>
              </w:rPr>
              <w:t xml:space="preserve">Secondary schools usually plan their Year 7 curriculum using information gained from the Year 6 SATs.  As these were not taken this year, </w:t>
            </w:r>
            <w:proofErr w:type="spellStart"/>
            <w:r w:rsidRPr="00CA3237">
              <w:rPr>
                <w:rFonts w:ascii="Verdana" w:hAnsi="Verdana"/>
                <w:lang w:val="en-US"/>
              </w:rPr>
              <w:t>SixIntoSeven</w:t>
            </w:r>
            <w:proofErr w:type="spellEnd"/>
            <w:r w:rsidRPr="00CA3237">
              <w:rPr>
                <w:rFonts w:ascii="Verdana" w:hAnsi="Verdana"/>
                <w:lang w:val="en-US"/>
              </w:rPr>
              <w:t xml:space="preserve"> provides an opportunity for information on pupil progress to flow between the feeder primary school and the destination secondary school.</w:t>
            </w:r>
          </w:p>
          <w:p w14:paraId="03C97DD8" w14:textId="77777777" w:rsidR="008B6E87" w:rsidRDefault="00CA3237" w:rsidP="008B6E87">
            <w:pPr>
              <w:spacing w:before="120" w:after="120" w:line="276" w:lineRule="auto"/>
              <w:rPr>
                <w:rFonts w:ascii="Verdana" w:hAnsi="Verdana"/>
                <w:lang w:val="en-US"/>
              </w:rPr>
            </w:pPr>
            <w:proofErr w:type="spellStart"/>
            <w:r w:rsidRPr="00CA3237">
              <w:rPr>
                <w:rFonts w:ascii="Verdana" w:hAnsi="Verdana"/>
                <w:lang w:val="en-US"/>
              </w:rPr>
              <w:t>SixIntoSeven</w:t>
            </w:r>
            <w:proofErr w:type="spellEnd"/>
            <w:r w:rsidRPr="00CA3237">
              <w:rPr>
                <w:rFonts w:ascii="Verdana" w:hAnsi="Verdana"/>
                <w:lang w:val="en-US"/>
              </w:rPr>
              <w:t xml:space="preserve"> fills the gaps left by school closures and disruption to normal procedures around transition such as SATs results and assessments. Primary school teachers input professional judgements on each pupil to show their progress in key curriculum areas. Secondary school teachers use this information to understand the capabilities of each pupil to target the most appropriate learning.</w:t>
            </w:r>
          </w:p>
          <w:p w14:paraId="47F9D4DA" w14:textId="63ED8B21" w:rsidR="007E352D" w:rsidRPr="000959FF" w:rsidRDefault="00CA3237" w:rsidP="008B6E87">
            <w:pPr>
              <w:spacing w:before="120" w:after="120" w:line="276" w:lineRule="auto"/>
              <w:rPr>
                <w:rFonts w:ascii="Verdana" w:hAnsi="Verdana"/>
                <w:lang w:val="en-US"/>
              </w:rPr>
            </w:pPr>
            <w:proofErr w:type="spellStart"/>
            <w:r w:rsidRPr="00CA3237">
              <w:rPr>
                <w:rFonts w:ascii="Verdana" w:hAnsi="Verdana"/>
                <w:lang w:val="en-US"/>
              </w:rPr>
              <w:t>SixIntoSeven</w:t>
            </w:r>
            <w:proofErr w:type="spellEnd"/>
            <w:r w:rsidRPr="00CA3237">
              <w:rPr>
                <w:rFonts w:ascii="Verdana" w:hAnsi="Verdana"/>
                <w:lang w:val="en-US"/>
              </w:rPr>
              <w:t xml:space="preserve"> ensures that secondary schools can easily decide which pupils need additional support and which elements of the curriculum have not been covered by each pupil.</w:t>
            </w: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770"/>
      </w:tblGrid>
      <w:tr w:rsidR="004A21D6" w:rsidRPr="000959FF" w14:paraId="1B24C52B" w14:textId="77777777" w:rsidTr="004112EB">
        <w:tc>
          <w:tcPr>
            <w:tcW w:w="9994" w:type="dxa"/>
            <w:shd w:val="clear" w:color="auto" w:fill="F2F2F2" w:themeFill="background1" w:themeFillShade="F2"/>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it’s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1CB6C54F" w14:textId="475DA735" w:rsidR="00D23645" w:rsidRDefault="00D23645" w:rsidP="008B6E87">
            <w:pPr>
              <w:spacing w:before="120" w:after="120" w:line="276" w:lineRule="auto"/>
              <w:rPr>
                <w:rFonts w:ascii="Verdana" w:hAnsi="Verdana"/>
                <w:lang w:val="en-US"/>
              </w:rPr>
            </w:pPr>
            <w:r w:rsidRPr="00D23645">
              <w:rPr>
                <w:rFonts w:ascii="Verdana" w:hAnsi="Verdana"/>
                <w:lang w:val="en-US"/>
              </w:rPr>
              <w:t xml:space="preserve">The project is a collaboration between </w:t>
            </w:r>
            <w:r>
              <w:rPr>
                <w:rFonts w:ascii="Verdana" w:hAnsi="Verdana"/>
                <w:lang w:val="en-US"/>
              </w:rPr>
              <w:t xml:space="preserve">the </w:t>
            </w:r>
            <w:r w:rsidRPr="00D23645">
              <w:rPr>
                <w:rFonts w:ascii="Verdana" w:hAnsi="Verdana"/>
                <w:lang w:val="en-US"/>
              </w:rPr>
              <w:t xml:space="preserve">Association of School and College Leaders </w:t>
            </w:r>
            <w:r>
              <w:rPr>
                <w:rFonts w:ascii="Verdana" w:hAnsi="Verdana"/>
                <w:lang w:val="en-US"/>
              </w:rPr>
              <w:t>(</w:t>
            </w:r>
            <w:r w:rsidRPr="00D23645">
              <w:rPr>
                <w:rFonts w:ascii="Verdana" w:hAnsi="Verdana"/>
                <w:lang w:val="en-US"/>
              </w:rPr>
              <w:t>ASCL</w:t>
            </w:r>
            <w:r>
              <w:rPr>
                <w:rFonts w:ascii="Verdana" w:hAnsi="Verdana"/>
                <w:lang w:val="en-US"/>
              </w:rPr>
              <w:t>)</w:t>
            </w:r>
            <w:r w:rsidRPr="00D23645">
              <w:rPr>
                <w:rFonts w:ascii="Verdana" w:hAnsi="Verdana"/>
                <w:lang w:val="en-US"/>
              </w:rPr>
              <w:t xml:space="preserve">, </w:t>
            </w:r>
            <w:r w:rsidR="0074329E" w:rsidRPr="0074329E">
              <w:rPr>
                <w:rFonts w:ascii="Verdana" w:hAnsi="Verdana"/>
                <w:lang w:val="en-US"/>
              </w:rPr>
              <w:t>a pilot group of schools from different local authorities in North West England</w:t>
            </w:r>
            <w:r w:rsidR="0074329E">
              <w:rPr>
                <w:rFonts w:ascii="Verdana" w:hAnsi="Verdana"/>
                <w:lang w:val="en-US"/>
              </w:rPr>
              <w:t xml:space="preserve">, </w:t>
            </w:r>
            <w:r w:rsidRPr="00D23645">
              <w:rPr>
                <w:rFonts w:ascii="Verdana" w:hAnsi="Verdana"/>
                <w:lang w:val="en-US"/>
              </w:rPr>
              <w:t xml:space="preserve">School Leaders across the country and </w:t>
            </w:r>
            <w:proofErr w:type="spellStart"/>
            <w:r w:rsidRPr="00D23645">
              <w:rPr>
                <w:rFonts w:ascii="Verdana" w:hAnsi="Verdana"/>
                <w:lang w:val="en-US"/>
              </w:rPr>
              <w:t>askEddi</w:t>
            </w:r>
            <w:proofErr w:type="spellEnd"/>
            <w:r w:rsidRPr="00D23645">
              <w:rPr>
                <w:rFonts w:ascii="Verdana" w:hAnsi="Verdana"/>
                <w:lang w:val="en-US"/>
              </w:rPr>
              <w:t xml:space="preserve">, through the forum of the Open Data Project for Schools. </w:t>
            </w:r>
          </w:p>
          <w:p w14:paraId="4F9E70DA" w14:textId="1AE27310" w:rsidR="0074329E" w:rsidRDefault="0074329E" w:rsidP="008B6E87">
            <w:pPr>
              <w:spacing w:before="120" w:after="120" w:line="276" w:lineRule="auto"/>
              <w:rPr>
                <w:rFonts w:ascii="Verdana" w:hAnsi="Verdana"/>
                <w:lang w:val="en-US"/>
              </w:rPr>
            </w:pPr>
            <w:r>
              <w:rPr>
                <w:rFonts w:ascii="Verdana" w:hAnsi="Verdana"/>
                <w:lang w:val="en-US"/>
              </w:rPr>
              <w:t>Duncan Baldwin,</w:t>
            </w:r>
            <w:r w:rsidRPr="0074329E">
              <w:rPr>
                <w:rFonts w:ascii="Verdana" w:hAnsi="Verdana"/>
                <w:lang w:val="en-US"/>
              </w:rPr>
              <w:t xml:space="preserve"> Deputy Director of Policy at the Association of School and College Leaders</w:t>
            </w:r>
          </w:p>
          <w:p w14:paraId="2B8B1CA3" w14:textId="77777777" w:rsidR="00D23645" w:rsidRDefault="00D23645" w:rsidP="008B6E87">
            <w:pPr>
              <w:spacing w:before="120" w:after="120" w:line="276" w:lineRule="auto"/>
              <w:rPr>
                <w:rFonts w:ascii="Verdana" w:hAnsi="Verdana"/>
                <w:lang w:val="en-US"/>
              </w:rPr>
            </w:pPr>
            <w:proofErr w:type="spellStart"/>
            <w:r w:rsidRPr="00D23645">
              <w:rPr>
                <w:rFonts w:ascii="Verdana" w:hAnsi="Verdana"/>
                <w:lang w:val="en-US"/>
              </w:rPr>
              <w:t>Tiffnie</w:t>
            </w:r>
            <w:proofErr w:type="spellEnd"/>
            <w:r w:rsidRPr="00D23645">
              <w:rPr>
                <w:rFonts w:ascii="Verdana" w:hAnsi="Verdana"/>
                <w:lang w:val="en-US"/>
              </w:rPr>
              <w:t xml:space="preserve"> Harris, Primary Specialist, The Association of School and College Leaders (ASCL)</w:t>
            </w:r>
          </w:p>
          <w:p w14:paraId="279326EF" w14:textId="77777777" w:rsidR="00D23645" w:rsidRDefault="00D23645" w:rsidP="008B6E87">
            <w:pPr>
              <w:spacing w:before="120" w:after="120" w:line="276" w:lineRule="auto"/>
              <w:rPr>
                <w:rFonts w:ascii="Verdana" w:hAnsi="Verdana"/>
                <w:lang w:val="en-US"/>
              </w:rPr>
            </w:pPr>
            <w:r>
              <w:rPr>
                <w:rFonts w:ascii="Verdana" w:hAnsi="Verdana"/>
                <w:lang w:val="en-US"/>
              </w:rPr>
              <w:t>Red Kite Learning Trust</w:t>
            </w:r>
          </w:p>
          <w:p w14:paraId="279BA7EC" w14:textId="77777777" w:rsidR="00D23645" w:rsidRDefault="00D23645" w:rsidP="008B6E87">
            <w:pPr>
              <w:spacing w:before="120" w:after="120" w:line="276" w:lineRule="auto"/>
              <w:rPr>
                <w:rFonts w:ascii="Verdana" w:hAnsi="Verdana"/>
                <w:lang w:val="en-US"/>
              </w:rPr>
            </w:pPr>
            <w:r>
              <w:rPr>
                <w:rFonts w:ascii="Verdana" w:hAnsi="Verdana"/>
                <w:lang w:val="en-US"/>
              </w:rPr>
              <w:t>Derbyshire County Council Children’s Services</w:t>
            </w:r>
          </w:p>
          <w:p w14:paraId="3A28BF5D" w14:textId="5DBFF15F"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63482285" w:rsidR="004A21D6" w:rsidRPr="000959FF" w:rsidRDefault="004A21D6" w:rsidP="000959FF">
      <w:pPr>
        <w:pStyle w:val="Heading1"/>
        <w:rPr>
          <w:lang w:eastAsia="en-GB"/>
        </w:rPr>
      </w:pPr>
      <w:r w:rsidRPr="000959FF">
        <w:rPr>
          <w:lang w:eastAsia="en-GB"/>
        </w:rPr>
        <w:lastRenderedPageBreak/>
        <w:t>Step 4: Assess necessity and proportionality</w:t>
      </w:r>
    </w:p>
    <w:tbl>
      <w:tblPr>
        <w:tblStyle w:val="TableGrid"/>
        <w:tblW w:w="0" w:type="auto"/>
        <w:tblLook w:val="04A0" w:firstRow="1" w:lastRow="0" w:firstColumn="1" w:lastColumn="0" w:noHBand="0" w:noVBand="1"/>
      </w:tblPr>
      <w:tblGrid>
        <w:gridCol w:w="9770"/>
      </w:tblGrid>
      <w:tr w:rsidR="004A21D6" w:rsidRPr="000959FF" w14:paraId="70378E22" w14:textId="77777777" w:rsidTr="008D242A">
        <w:tc>
          <w:tcPr>
            <w:tcW w:w="9770" w:type="dxa"/>
            <w:tcBorders>
              <w:bottom w:val="single" w:sz="4" w:space="0" w:color="auto"/>
            </w:tcBorders>
            <w:shd w:val="clear" w:color="auto" w:fill="F2F2F2" w:themeFill="background1" w:themeFillShade="F2"/>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8D242A">
        <w:trPr>
          <w:trHeight w:val="3912"/>
        </w:trPr>
        <w:tc>
          <w:tcPr>
            <w:tcW w:w="9770" w:type="dxa"/>
            <w:tcBorders>
              <w:top w:val="single" w:sz="4" w:space="0" w:color="auto"/>
              <w:left w:val="nil"/>
              <w:bottom w:val="nil"/>
              <w:right w:val="nil"/>
            </w:tcBorders>
          </w:tcPr>
          <w:p w14:paraId="218AC1A1" w14:textId="49B428F9" w:rsidR="0074329E" w:rsidRDefault="00CA3237" w:rsidP="008B6E87">
            <w:pPr>
              <w:spacing w:before="120" w:after="120" w:line="276" w:lineRule="auto"/>
              <w:rPr>
                <w:rFonts w:ascii="Verdana" w:hAnsi="Verdana"/>
                <w:lang w:val="en-US"/>
              </w:rPr>
            </w:pPr>
            <w:r w:rsidRPr="23CF1510">
              <w:rPr>
                <w:rFonts w:ascii="Verdana" w:hAnsi="Verdana"/>
                <w:lang w:val="en-US"/>
              </w:rPr>
              <w:t>Delivered by ASCL, The Open Data Project is a secure platform for schools to share and compare the data they already collect for the benefit of pupils.</w:t>
            </w:r>
          </w:p>
          <w:p w14:paraId="150673A0" w14:textId="3152D9C0" w:rsidR="31852C04" w:rsidRDefault="31852C04" w:rsidP="23CF1510">
            <w:pPr>
              <w:spacing w:before="120" w:after="120" w:line="276" w:lineRule="auto"/>
              <w:rPr>
                <w:rFonts w:ascii="Verdana" w:eastAsia="Verdana" w:hAnsi="Verdana" w:cs="Verdana"/>
              </w:rPr>
            </w:pPr>
            <w:r w:rsidRPr="23CF1510">
              <w:rPr>
                <w:rFonts w:ascii="Verdana" w:eastAsia="Verdana" w:hAnsi="Verdana" w:cs="Verdana"/>
              </w:rPr>
              <w:t>Under the General Data Protection Regulation (GDPR), the lawful basis we generally rely on is Article 6(1)(b) for processing information.  However, we feel it is helpful to set out the lawful bases that may be relied on by the schools that are sharing data with us. Schools should ensure that they have selected and documented the appropriate legal bases for their purposes.  Data subjects should ascertain the school’s legal bases from the schools.</w:t>
            </w:r>
          </w:p>
          <w:tbl>
            <w:tblPr>
              <w:tblStyle w:val="TableGrid"/>
              <w:tblW w:w="0" w:type="auto"/>
              <w:tblLook w:val="04A0" w:firstRow="1" w:lastRow="0" w:firstColumn="1" w:lastColumn="0" w:noHBand="0" w:noVBand="1"/>
            </w:tblPr>
            <w:tblGrid>
              <w:gridCol w:w="1867"/>
              <w:gridCol w:w="1984"/>
              <w:gridCol w:w="1985"/>
              <w:gridCol w:w="3260"/>
            </w:tblGrid>
            <w:tr w:rsidR="0074329E" w:rsidRPr="0074329E" w14:paraId="4C3BBD93" w14:textId="77777777" w:rsidTr="008D242A">
              <w:tc>
                <w:tcPr>
                  <w:tcW w:w="1867" w:type="dxa"/>
                  <w:shd w:val="clear" w:color="auto" w:fill="EEECE1" w:themeFill="background2"/>
                </w:tcPr>
                <w:p w14:paraId="1ED3CAD8" w14:textId="77777777" w:rsidR="0074329E" w:rsidRPr="0074329E" w:rsidRDefault="0074329E" w:rsidP="0074329E">
                  <w:pPr>
                    <w:rPr>
                      <w:rFonts w:ascii="Verdana" w:hAnsi="Verdana"/>
                      <w:sz w:val="22"/>
                      <w:szCs w:val="22"/>
                    </w:rPr>
                  </w:pPr>
                  <w:r w:rsidRPr="0074329E">
                    <w:rPr>
                      <w:rFonts w:ascii="Verdana" w:hAnsi="Verdana"/>
                      <w:sz w:val="22"/>
                      <w:szCs w:val="22"/>
                    </w:rPr>
                    <w:t>Type of data</w:t>
                  </w:r>
                </w:p>
              </w:tc>
              <w:tc>
                <w:tcPr>
                  <w:tcW w:w="1984" w:type="dxa"/>
                  <w:shd w:val="clear" w:color="auto" w:fill="EEECE1" w:themeFill="background2"/>
                </w:tcPr>
                <w:p w14:paraId="3E198AF3" w14:textId="77777777" w:rsidR="0074329E" w:rsidRPr="0074329E" w:rsidRDefault="0074329E" w:rsidP="0074329E">
                  <w:pPr>
                    <w:rPr>
                      <w:rFonts w:ascii="Verdana" w:hAnsi="Verdana"/>
                      <w:sz w:val="22"/>
                      <w:szCs w:val="22"/>
                    </w:rPr>
                  </w:pPr>
                  <w:r w:rsidRPr="0074329E">
                    <w:rPr>
                      <w:rFonts w:ascii="Verdana" w:hAnsi="Verdana"/>
                      <w:sz w:val="22"/>
                      <w:szCs w:val="22"/>
                    </w:rPr>
                    <w:t xml:space="preserve">Shared by </w:t>
                  </w:r>
                </w:p>
              </w:tc>
              <w:tc>
                <w:tcPr>
                  <w:tcW w:w="1985" w:type="dxa"/>
                  <w:shd w:val="clear" w:color="auto" w:fill="EEECE1" w:themeFill="background2"/>
                </w:tcPr>
                <w:p w14:paraId="74F454E1" w14:textId="77777777" w:rsidR="0074329E" w:rsidRPr="0074329E" w:rsidRDefault="0074329E" w:rsidP="0074329E">
                  <w:pPr>
                    <w:rPr>
                      <w:rFonts w:ascii="Verdana" w:hAnsi="Verdana"/>
                      <w:sz w:val="22"/>
                      <w:szCs w:val="22"/>
                    </w:rPr>
                  </w:pPr>
                  <w:r w:rsidRPr="0074329E">
                    <w:rPr>
                      <w:rFonts w:ascii="Verdana" w:hAnsi="Verdana"/>
                      <w:sz w:val="22"/>
                      <w:szCs w:val="22"/>
                    </w:rPr>
                    <w:t>Shared with</w:t>
                  </w:r>
                </w:p>
              </w:tc>
              <w:tc>
                <w:tcPr>
                  <w:tcW w:w="3260" w:type="dxa"/>
                  <w:shd w:val="clear" w:color="auto" w:fill="EEECE1" w:themeFill="background2"/>
                </w:tcPr>
                <w:p w14:paraId="5C693C50" w14:textId="77777777" w:rsidR="0074329E" w:rsidRPr="0074329E" w:rsidRDefault="0074329E" w:rsidP="0074329E">
                  <w:pPr>
                    <w:rPr>
                      <w:rFonts w:ascii="Verdana" w:hAnsi="Verdana"/>
                      <w:sz w:val="22"/>
                      <w:szCs w:val="22"/>
                    </w:rPr>
                  </w:pPr>
                  <w:r w:rsidRPr="0074329E">
                    <w:rPr>
                      <w:rFonts w:ascii="Verdana" w:hAnsi="Verdana"/>
                      <w:sz w:val="22"/>
                      <w:szCs w:val="22"/>
                    </w:rPr>
                    <w:t>Lawful basis</w:t>
                  </w:r>
                </w:p>
              </w:tc>
            </w:tr>
            <w:tr w:rsidR="0074329E" w:rsidRPr="0074329E" w14:paraId="4A6A738D" w14:textId="77777777" w:rsidTr="008D242A">
              <w:tc>
                <w:tcPr>
                  <w:tcW w:w="1867" w:type="dxa"/>
                  <w:vMerge w:val="restart"/>
                </w:tcPr>
                <w:p w14:paraId="2AE49B8D" w14:textId="77777777" w:rsidR="0074329E" w:rsidRPr="0074329E" w:rsidRDefault="0074329E" w:rsidP="0074329E">
                  <w:pPr>
                    <w:rPr>
                      <w:rFonts w:ascii="Verdana" w:hAnsi="Verdana"/>
                      <w:sz w:val="22"/>
                      <w:szCs w:val="22"/>
                    </w:rPr>
                  </w:pPr>
                  <w:r w:rsidRPr="0074329E">
                    <w:rPr>
                      <w:rFonts w:ascii="Verdana" w:hAnsi="Verdana"/>
                      <w:sz w:val="22"/>
                      <w:szCs w:val="22"/>
                    </w:rPr>
                    <w:t>Business data</w:t>
                  </w:r>
                </w:p>
              </w:tc>
              <w:tc>
                <w:tcPr>
                  <w:tcW w:w="1984" w:type="dxa"/>
                </w:tcPr>
                <w:p w14:paraId="1F304053" w14:textId="7741EABD" w:rsidR="0074329E" w:rsidRPr="0074329E" w:rsidRDefault="00870D32" w:rsidP="00870D32">
                  <w:pPr>
                    <w:rPr>
                      <w:rFonts w:ascii="Verdana" w:hAnsi="Verdana"/>
                      <w:sz w:val="22"/>
                      <w:szCs w:val="22"/>
                    </w:rPr>
                  </w:pPr>
                  <w:r>
                    <w:rPr>
                      <w:rFonts w:ascii="Verdana" w:hAnsi="Verdana"/>
                      <w:sz w:val="22"/>
                      <w:szCs w:val="22"/>
                    </w:rPr>
                    <w:t xml:space="preserve">Secondary </w:t>
                  </w:r>
                </w:p>
              </w:tc>
              <w:tc>
                <w:tcPr>
                  <w:tcW w:w="1985" w:type="dxa"/>
                </w:tcPr>
                <w:p w14:paraId="19206A4D" w14:textId="77777777" w:rsidR="0074329E" w:rsidRPr="0074329E" w:rsidRDefault="0074329E" w:rsidP="0074329E">
                  <w:pPr>
                    <w:rPr>
                      <w:rFonts w:ascii="Verdana" w:hAnsi="Verdana"/>
                      <w:sz w:val="22"/>
                      <w:szCs w:val="22"/>
                    </w:rPr>
                  </w:pPr>
                  <w:r w:rsidRPr="0074329E">
                    <w:rPr>
                      <w:rFonts w:ascii="Verdana" w:hAnsi="Verdana"/>
                      <w:sz w:val="22"/>
                      <w:szCs w:val="22"/>
                    </w:rPr>
                    <w:t>The company</w:t>
                  </w:r>
                </w:p>
              </w:tc>
              <w:tc>
                <w:tcPr>
                  <w:tcW w:w="3260" w:type="dxa"/>
                </w:tcPr>
                <w:p w14:paraId="0B9ABDA7" w14:textId="0912C23D" w:rsidR="0074329E" w:rsidRPr="0074329E" w:rsidRDefault="008D242A" w:rsidP="0074329E">
                  <w:pPr>
                    <w:rPr>
                      <w:rFonts w:ascii="Verdana" w:hAnsi="Verdana"/>
                      <w:sz w:val="22"/>
                      <w:szCs w:val="22"/>
                    </w:rPr>
                  </w:pPr>
                  <w:r>
                    <w:rPr>
                      <w:rFonts w:ascii="Verdana" w:hAnsi="Verdana"/>
                      <w:sz w:val="22"/>
                      <w:szCs w:val="22"/>
                    </w:rPr>
                    <w:t>Article 6 (1)</w:t>
                  </w:r>
                  <w:r w:rsidR="0074329E" w:rsidRPr="0074329E">
                    <w:rPr>
                      <w:rFonts w:ascii="Verdana" w:hAnsi="Verdana"/>
                      <w:sz w:val="22"/>
                      <w:szCs w:val="22"/>
                    </w:rPr>
                    <w:t>(b) Contract</w:t>
                  </w:r>
                </w:p>
              </w:tc>
            </w:tr>
            <w:tr w:rsidR="0074329E" w:rsidRPr="0074329E" w14:paraId="1A4A26C6" w14:textId="77777777" w:rsidTr="008D242A">
              <w:tc>
                <w:tcPr>
                  <w:tcW w:w="1867" w:type="dxa"/>
                  <w:vMerge/>
                </w:tcPr>
                <w:p w14:paraId="70DFD7CA" w14:textId="77777777" w:rsidR="0074329E" w:rsidRPr="0074329E" w:rsidRDefault="0074329E" w:rsidP="0074329E">
                  <w:pPr>
                    <w:rPr>
                      <w:rFonts w:ascii="Verdana" w:hAnsi="Verdana"/>
                      <w:sz w:val="22"/>
                      <w:szCs w:val="22"/>
                    </w:rPr>
                  </w:pPr>
                </w:p>
              </w:tc>
              <w:tc>
                <w:tcPr>
                  <w:tcW w:w="1984" w:type="dxa"/>
                </w:tcPr>
                <w:p w14:paraId="56664BFB" w14:textId="0DD9E2F7" w:rsidR="0074329E" w:rsidRPr="0074329E" w:rsidRDefault="00870D32" w:rsidP="0074329E">
                  <w:pPr>
                    <w:rPr>
                      <w:rFonts w:ascii="Verdana" w:hAnsi="Verdana"/>
                      <w:sz w:val="22"/>
                      <w:szCs w:val="22"/>
                    </w:rPr>
                  </w:pPr>
                  <w:r>
                    <w:rPr>
                      <w:rFonts w:ascii="Verdana" w:hAnsi="Verdana"/>
                      <w:sz w:val="22"/>
                      <w:szCs w:val="22"/>
                    </w:rPr>
                    <w:t>Primary</w:t>
                  </w:r>
                </w:p>
              </w:tc>
              <w:tc>
                <w:tcPr>
                  <w:tcW w:w="1985" w:type="dxa"/>
                </w:tcPr>
                <w:p w14:paraId="2D7DAFBB" w14:textId="77777777" w:rsidR="0074329E" w:rsidRPr="0074329E" w:rsidRDefault="0074329E" w:rsidP="0074329E">
                  <w:pPr>
                    <w:rPr>
                      <w:rFonts w:ascii="Verdana" w:hAnsi="Verdana"/>
                      <w:sz w:val="22"/>
                      <w:szCs w:val="22"/>
                    </w:rPr>
                  </w:pPr>
                  <w:r w:rsidRPr="0074329E">
                    <w:rPr>
                      <w:rFonts w:ascii="Verdana" w:hAnsi="Verdana"/>
                      <w:sz w:val="22"/>
                      <w:szCs w:val="22"/>
                    </w:rPr>
                    <w:t>The company</w:t>
                  </w:r>
                </w:p>
              </w:tc>
              <w:tc>
                <w:tcPr>
                  <w:tcW w:w="3260" w:type="dxa"/>
                </w:tcPr>
                <w:p w14:paraId="49CB60B7" w14:textId="69728A8C" w:rsidR="0074329E" w:rsidRPr="0074329E" w:rsidRDefault="008D242A" w:rsidP="0074329E">
                  <w:pPr>
                    <w:rPr>
                      <w:rFonts w:ascii="Verdana" w:hAnsi="Verdana"/>
                      <w:sz w:val="22"/>
                      <w:szCs w:val="22"/>
                    </w:rPr>
                  </w:pPr>
                  <w:r>
                    <w:rPr>
                      <w:rFonts w:ascii="Verdana" w:hAnsi="Verdana"/>
                      <w:sz w:val="22"/>
                      <w:szCs w:val="22"/>
                    </w:rPr>
                    <w:t>Article 6 (1)</w:t>
                  </w:r>
                  <w:r w:rsidR="0074329E" w:rsidRPr="0074329E">
                    <w:rPr>
                      <w:rFonts w:ascii="Verdana" w:hAnsi="Verdana"/>
                      <w:sz w:val="22"/>
                      <w:szCs w:val="22"/>
                    </w:rPr>
                    <w:t>(b) Contract</w:t>
                  </w:r>
                </w:p>
              </w:tc>
            </w:tr>
            <w:tr w:rsidR="0074329E" w:rsidRPr="0074329E" w14:paraId="7BD6BAF5" w14:textId="77777777" w:rsidTr="008D242A">
              <w:tc>
                <w:tcPr>
                  <w:tcW w:w="1867" w:type="dxa"/>
                  <w:vMerge w:val="restart"/>
                </w:tcPr>
                <w:p w14:paraId="29BE28B0" w14:textId="77777777" w:rsidR="0074329E" w:rsidRPr="0074329E" w:rsidRDefault="0074329E" w:rsidP="0074329E">
                  <w:pPr>
                    <w:rPr>
                      <w:rFonts w:ascii="Verdana" w:hAnsi="Verdana"/>
                      <w:sz w:val="22"/>
                      <w:szCs w:val="22"/>
                    </w:rPr>
                  </w:pPr>
                  <w:r w:rsidRPr="0074329E">
                    <w:rPr>
                      <w:rFonts w:ascii="Verdana" w:hAnsi="Verdana"/>
                      <w:sz w:val="22"/>
                      <w:szCs w:val="22"/>
                    </w:rPr>
                    <w:t>School data</w:t>
                  </w:r>
                </w:p>
              </w:tc>
              <w:tc>
                <w:tcPr>
                  <w:tcW w:w="1984" w:type="dxa"/>
                </w:tcPr>
                <w:p w14:paraId="7F2BA899" w14:textId="5B1BBB71" w:rsidR="0074329E" w:rsidRPr="0074329E" w:rsidRDefault="00870D32" w:rsidP="0074329E">
                  <w:pPr>
                    <w:rPr>
                      <w:rFonts w:ascii="Verdana" w:hAnsi="Verdana"/>
                      <w:sz w:val="22"/>
                      <w:szCs w:val="22"/>
                    </w:rPr>
                  </w:pPr>
                  <w:r>
                    <w:rPr>
                      <w:rFonts w:ascii="Verdana" w:hAnsi="Verdana"/>
                      <w:sz w:val="22"/>
                      <w:szCs w:val="22"/>
                    </w:rPr>
                    <w:t>Secondary</w:t>
                  </w:r>
                </w:p>
              </w:tc>
              <w:tc>
                <w:tcPr>
                  <w:tcW w:w="1985" w:type="dxa"/>
                </w:tcPr>
                <w:p w14:paraId="48EFEC6B" w14:textId="77777777" w:rsidR="0074329E" w:rsidRPr="0074329E" w:rsidRDefault="0074329E" w:rsidP="0074329E">
                  <w:pPr>
                    <w:rPr>
                      <w:rFonts w:ascii="Verdana" w:hAnsi="Verdana"/>
                      <w:sz w:val="22"/>
                      <w:szCs w:val="22"/>
                    </w:rPr>
                  </w:pPr>
                  <w:r w:rsidRPr="0074329E">
                    <w:rPr>
                      <w:rFonts w:ascii="Verdana" w:hAnsi="Verdana"/>
                      <w:sz w:val="22"/>
                      <w:szCs w:val="22"/>
                    </w:rPr>
                    <w:t>The company</w:t>
                  </w:r>
                </w:p>
              </w:tc>
              <w:tc>
                <w:tcPr>
                  <w:tcW w:w="3260" w:type="dxa"/>
                </w:tcPr>
                <w:p w14:paraId="384CF819" w14:textId="4B0DC250" w:rsidR="0074329E" w:rsidRPr="0074329E" w:rsidRDefault="008D242A" w:rsidP="008D242A">
                  <w:pPr>
                    <w:rPr>
                      <w:rFonts w:ascii="Verdana" w:hAnsi="Verdana"/>
                      <w:sz w:val="22"/>
                      <w:szCs w:val="22"/>
                    </w:rPr>
                  </w:pPr>
                  <w:r>
                    <w:rPr>
                      <w:rFonts w:ascii="Verdana" w:hAnsi="Verdana"/>
                      <w:sz w:val="22"/>
                      <w:szCs w:val="22"/>
                    </w:rPr>
                    <w:t>Article 6 (1)</w:t>
                  </w:r>
                  <w:r w:rsidR="0074329E" w:rsidRPr="0074329E">
                    <w:rPr>
                      <w:rFonts w:ascii="Verdana" w:hAnsi="Verdana"/>
                      <w:sz w:val="22"/>
                      <w:szCs w:val="22"/>
                    </w:rPr>
                    <w:t>(e) Public Task</w:t>
                  </w:r>
                </w:p>
              </w:tc>
            </w:tr>
            <w:tr w:rsidR="0074329E" w:rsidRPr="0074329E" w14:paraId="2D407ED8" w14:textId="77777777" w:rsidTr="008D242A">
              <w:tc>
                <w:tcPr>
                  <w:tcW w:w="1867" w:type="dxa"/>
                  <w:vMerge/>
                </w:tcPr>
                <w:p w14:paraId="77CF4E13" w14:textId="77777777" w:rsidR="0074329E" w:rsidRPr="0074329E" w:rsidRDefault="0074329E" w:rsidP="0074329E">
                  <w:pPr>
                    <w:rPr>
                      <w:rFonts w:ascii="Verdana" w:hAnsi="Verdana"/>
                      <w:sz w:val="22"/>
                      <w:szCs w:val="22"/>
                    </w:rPr>
                  </w:pPr>
                </w:p>
              </w:tc>
              <w:tc>
                <w:tcPr>
                  <w:tcW w:w="1984" w:type="dxa"/>
                </w:tcPr>
                <w:p w14:paraId="66F31F84" w14:textId="77777777" w:rsidR="0074329E" w:rsidRPr="0074329E" w:rsidRDefault="0074329E" w:rsidP="0074329E">
                  <w:pPr>
                    <w:rPr>
                      <w:rFonts w:ascii="Verdana" w:hAnsi="Verdana"/>
                      <w:sz w:val="22"/>
                      <w:szCs w:val="22"/>
                    </w:rPr>
                  </w:pPr>
                  <w:r w:rsidRPr="0074329E">
                    <w:rPr>
                      <w:rFonts w:ascii="Verdana" w:hAnsi="Verdana"/>
                      <w:sz w:val="22"/>
                      <w:szCs w:val="22"/>
                    </w:rPr>
                    <w:t>The company</w:t>
                  </w:r>
                </w:p>
              </w:tc>
              <w:tc>
                <w:tcPr>
                  <w:tcW w:w="1985" w:type="dxa"/>
                </w:tcPr>
                <w:p w14:paraId="180D0B75" w14:textId="4640DAAC" w:rsidR="0074329E" w:rsidRPr="0074329E" w:rsidRDefault="00870D32" w:rsidP="0074329E">
                  <w:pPr>
                    <w:rPr>
                      <w:rFonts w:ascii="Verdana" w:hAnsi="Verdana"/>
                      <w:sz w:val="22"/>
                      <w:szCs w:val="22"/>
                    </w:rPr>
                  </w:pPr>
                  <w:r>
                    <w:rPr>
                      <w:rFonts w:ascii="Verdana" w:hAnsi="Verdana"/>
                      <w:sz w:val="22"/>
                      <w:szCs w:val="22"/>
                    </w:rPr>
                    <w:t>Secondary</w:t>
                  </w:r>
                </w:p>
              </w:tc>
              <w:tc>
                <w:tcPr>
                  <w:tcW w:w="3260" w:type="dxa"/>
                </w:tcPr>
                <w:p w14:paraId="477D4EB0" w14:textId="60E15712" w:rsidR="0074329E" w:rsidRPr="0074329E" w:rsidRDefault="008D242A" w:rsidP="0074329E">
                  <w:pPr>
                    <w:rPr>
                      <w:rFonts w:ascii="Verdana" w:hAnsi="Verdana"/>
                      <w:sz w:val="22"/>
                      <w:szCs w:val="22"/>
                    </w:rPr>
                  </w:pPr>
                  <w:r>
                    <w:rPr>
                      <w:rFonts w:ascii="Verdana" w:hAnsi="Verdana"/>
                      <w:sz w:val="22"/>
                      <w:szCs w:val="22"/>
                    </w:rPr>
                    <w:t>Article 6 (1)</w:t>
                  </w:r>
                  <w:r w:rsidR="0074329E" w:rsidRPr="0074329E">
                    <w:rPr>
                      <w:rFonts w:ascii="Verdana" w:hAnsi="Verdana"/>
                      <w:sz w:val="22"/>
                      <w:szCs w:val="22"/>
                    </w:rPr>
                    <w:t>(b) Contract</w:t>
                  </w:r>
                </w:p>
              </w:tc>
            </w:tr>
            <w:tr w:rsidR="0074329E" w:rsidRPr="0074329E" w14:paraId="2A041FC6" w14:textId="77777777" w:rsidTr="008D242A">
              <w:tc>
                <w:tcPr>
                  <w:tcW w:w="1867" w:type="dxa"/>
                  <w:vMerge/>
                </w:tcPr>
                <w:p w14:paraId="1E4EF432" w14:textId="77777777" w:rsidR="0074329E" w:rsidRPr="0074329E" w:rsidRDefault="0074329E" w:rsidP="0074329E">
                  <w:pPr>
                    <w:rPr>
                      <w:rFonts w:ascii="Verdana" w:hAnsi="Verdana"/>
                      <w:sz w:val="22"/>
                      <w:szCs w:val="22"/>
                    </w:rPr>
                  </w:pPr>
                </w:p>
              </w:tc>
              <w:tc>
                <w:tcPr>
                  <w:tcW w:w="1984" w:type="dxa"/>
                </w:tcPr>
                <w:p w14:paraId="55FADFD4" w14:textId="4E088240" w:rsidR="0074329E" w:rsidRPr="0074329E" w:rsidRDefault="00870D32" w:rsidP="0074329E">
                  <w:pPr>
                    <w:rPr>
                      <w:rFonts w:ascii="Verdana" w:hAnsi="Verdana"/>
                      <w:sz w:val="22"/>
                      <w:szCs w:val="22"/>
                    </w:rPr>
                  </w:pPr>
                  <w:r>
                    <w:rPr>
                      <w:rFonts w:ascii="Verdana" w:hAnsi="Verdana"/>
                      <w:sz w:val="22"/>
                      <w:szCs w:val="22"/>
                    </w:rPr>
                    <w:t xml:space="preserve">Primary </w:t>
                  </w:r>
                </w:p>
              </w:tc>
              <w:tc>
                <w:tcPr>
                  <w:tcW w:w="1985" w:type="dxa"/>
                </w:tcPr>
                <w:p w14:paraId="1469B4AA" w14:textId="77777777" w:rsidR="0074329E" w:rsidRPr="0074329E" w:rsidRDefault="0074329E" w:rsidP="0074329E">
                  <w:pPr>
                    <w:rPr>
                      <w:rFonts w:ascii="Verdana" w:hAnsi="Verdana"/>
                      <w:sz w:val="22"/>
                      <w:szCs w:val="22"/>
                    </w:rPr>
                  </w:pPr>
                  <w:r w:rsidRPr="0074329E">
                    <w:rPr>
                      <w:rFonts w:ascii="Verdana" w:hAnsi="Verdana"/>
                      <w:sz w:val="22"/>
                      <w:szCs w:val="22"/>
                    </w:rPr>
                    <w:t>The company</w:t>
                  </w:r>
                </w:p>
              </w:tc>
              <w:tc>
                <w:tcPr>
                  <w:tcW w:w="3260" w:type="dxa"/>
                </w:tcPr>
                <w:p w14:paraId="01B22362" w14:textId="62D5AC9D" w:rsidR="0074329E" w:rsidRPr="0074329E" w:rsidRDefault="008D242A" w:rsidP="008D242A">
                  <w:pPr>
                    <w:rPr>
                      <w:rFonts w:ascii="Verdana" w:hAnsi="Verdana"/>
                      <w:sz w:val="22"/>
                      <w:szCs w:val="22"/>
                    </w:rPr>
                  </w:pPr>
                  <w:r>
                    <w:rPr>
                      <w:rFonts w:ascii="Verdana" w:hAnsi="Verdana"/>
                      <w:sz w:val="22"/>
                      <w:szCs w:val="22"/>
                    </w:rPr>
                    <w:t>Article 6 (1)</w:t>
                  </w:r>
                  <w:r w:rsidR="0074329E" w:rsidRPr="0074329E">
                    <w:rPr>
                      <w:rFonts w:ascii="Verdana" w:hAnsi="Verdana"/>
                      <w:sz w:val="22"/>
                      <w:szCs w:val="22"/>
                    </w:rPr>
                    <w:t>(e) Public Task</w:t>
                  </w:r>
                </w:p>
              </w:tc>
            </w:tr>
            <w:tr w:rsidR="0074329E" w:rsidRPr="0074329E" w14:paraId="031F9043" w14:textId="77777777" w:rsidTr="008D242A">
              <w:tc>
                <w:tcPr>
                  <w:tcW w:w="1867" w:type="dxa"/>
                  <w:vMerge/>
                </w:tcPr>
                <w:p w14:paraId="7B43B91C" w14:textId="77777777" w:rsidR="0074329E" w:rsidRPr="0074329E" w:rsidRDefault="0074329E" w:rsidP="0074329E">
                  <w:pPr>
                    <w:rPr>
                      <w:rFonts w:ascii="Verdana" w:hAnsi="Verdana"/>
                      <w:sz w:val="22"/>
                      <w:szCs w:val="22"/>
                    </w:rPr>
                  </w:pPr>
                </w:p>
              </w:tc>
              <w:tc>
                <w:tcPr>
                  <w:tcW w:w="1984" w:type="dxa"/>
                </w:tcPr>
                <w:p w14:paraId="70215145" w14:textId="71E92124" w:rsidR="0074329E" w:rsidRPr="0074329E" w:rsidRDefault="00870D32" w:rsidP="0074329E">
                  <w:pPr>
                    <w:rPr>
                      <w:rFonts w:ascii="Verdana" w:hAnsi="Verdana"/>
                      <w:sz w:val="22"/>
                      <w:szCs w:val="22"/>
                    </w:rPr>
                  </w:pPr>
                  <w:r>
                    <w:rPr>
                      <w:rFonts w:ascii="Verdana" w:hAnsi="Verdana"/>
                      <w:sz w:val="22"/>
                      <w:szCs w:val="22"/>
                    </w:rPr>
                    <w:t>Primary</w:t>
                  </w:r>
                </w:p>
              </w:tc>
              <w:tc>
                <w:tcPr>
                  <w:tcW w:w="1985" w:type="dxa"/>
                </w:tcPr>
                <w:p w14:paraId="4937A5B3" w14:textId="3EA555C3" w:rsidR="0074329E" w:rsidRPr="0074329E" w:rsidRDefault="00870D32" w:rsidP="0074329E">
                  <w:pPr>
                    <w:rPr>
                      <w:rFonts w:ascii="Verdana" w:hAnsi="Verdana"/>
                      <w:sz w:val="22"/>
                      <w:szCs w:val="22"/>
                    </w:rPr>
                  </w:pPr>
                  <w:r>
                    <w:rPr>
                      <w:rFonts w:ascii="Verdana" w:hAnsi="Verdana"/>
                      <w:sz w:val="22"/>
                      <w:szCs w:val="22"/>
                    </w:rPr>
                    <w:t>Secondary</w:t>
                  </w:r>
                </w:p>
              </w:tc>
              <w:tc>
                <w:tcPr>
                  <w:tcW w:w="3260" w:type="dxa"/>
                </w:tcPr>
                <w:p w14:paraId="06C9B489" w14:textId="3DF1223D" w:rsidR="0074329E" w:rsidRPr="0074329E" w:rsidRDefault="008D242A" w:rsidP="008D242A">
                  <w:pPr>
                    <w:rPr>
                      <w:rFonts w:ascii="Verdana" w:hAnsi="Verdana"/>
                      <w:sz w:val="22"/>
                      <w:szCs w:val="22"/>
                    </w:rPr>
                  </w:pPr>
                  <w:r>
                    <w:rPr>
                      <w:rFonts w:ascii="Verdana" w:hAnsi="Verdana"/>
                      <w:sz w:val="22"/>
                      <w:szCs w:val="22"/>
                    </w:rPr>
                    <w:t>Article 6 (1)</w:t>
                  </w:r>
                  <w:r w:rsidR="0074329E" w:rsidRPr="0074329E">
                    <w:rPr>
                      <w:rFonts w:ascii="Verdana" w:hAnsi="Verdana"/>
                      <w:sz w:val="22"/>
                      <w:szCs w:val="22"/>
                    </w:rPr>
                    <w:t>(e) Public Task</w:t>
                  </w:r>
                </w:p>
              </w:tc>
            </w:tr>
          </w:tbl>
          <w:p w14:paraId="39FC8BBB" w14:textId="4834B12B" w:rsidR="0074329E" w:rsidRDefault="0074329E" w:rsidP="008B6E87">
            <w:pPr>
              <w:spacing w:before="120" w:after="120" w:line="276" w:lineRule="auto"/>
              <w:rPr>
                <w:rFonts w:ascii="Verdana" w:hAnsi="Verdana"/>
                <w:lang w:val="en-US"/>
              </w:rPr>
            </w:pPr>
            <w:r>
              <w:rPr>
                <w:rFonts w:ascii="Verdana" w:hAnsi="Verdana"/>
                <w:lang w:val="en-US"/>
              </w:rPr>
              <w:t>The data shared is the minimum required to carry out successful matching between schools.  Then follows the Professional Judgment as outlined below. Alternatives would be for this to be carried out directly between schools without the need for a third party ‘intermediary’. However, given the enormity of the pressures faced by schools during the pandemic, this provides a secure, efficient and consistent method, devised by school leaders.</w:t>
            </w:r>
          </w:p>
          <w:p w14:paraId="2889654B" w14:textId="287D95EA" w:rsidR="0074329E" w:rsidRDefault="008D242A" w:rsidP="004A21D6">
            <w:pPr>
              <w:spacing w:before="120" w:after="120"/>
              <w:rPr>
                <w:rFonts w:ascii="Verdana" w:hAnsi="Verdana"/>
                <w:lang w:val="en-US"/>
              </w:rPr>
            </w:pPr>
            <w:r>
              <w:rPr>
                <w:noProof/>
              </w:rPr>
              <w:drawing>
                <wp:anchor distT="0" distB="0" distL="114300" distR="114300" simplePos="0" relativeHeight="251658242" behindDoc="0" locked="0" layoutInCell="1" allowOverlap="1" wp14:anchorId="09EC65A7" wp14:editId="5F9F283F">
                  <wp:simplePos x="0" y="0"/>
                  <wp:positionH relativeFrom="column">
                    <wp:posOffset>859589</wp:posOffset>
                  </wp:positionH>
                  <wp:positionV relativeFrom="paragraph">
                    <wp:posOffset>66809</wp:posOffset>
                  </wp:positionV>
                  <wp:extent cx="4375150" cy="2549933"/>
                  <wp:effectExtent l="0" t="0" r="635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75150" cy="2549933"/>
                          </a:xfrm>
                          <a:prstGeom prst="rect">
                            <a:avLst/>
                          </a:prstGeom>
                        </pic:spPr>
                      </pic:pic>
                    </a:graphicData>
                  </a:graphic>
                </wp:anchor>
              </w:drawing>
            </w:r>
          </w:p>
          <w:p w14:paraId="0558F90F" w14:textId="77777777" w:rsidR="004112EB" w:rsidRDefault="004112EB" w:rsidP="008B6E87">
            <w:pPr>
              <w:spacing w:before="120" w:after="120" w:line="276" w:lineRule="auto"/>
              <w:rPr>
                <w:rFonts w:ascii="Verdana" w:hAnsi="Verdana"/>
                <w:lang w:val="en-US"/>
              </w:rPr>
            </w:pPr>
          </w:p>
          <w:p w14:paraId="7CD7F895" w14:textId="77777777" w:rsidR="004112EB" w:rsidRDefault="004112EB" w:rsidP="008B6E87">
            <w:pPr>
              <w:spacing w:before="120" w:after="120" w:line="276" w:lineRule="auto"/>
              <w:rPr>
                <w:rFonts w:ascii="Verdana" w:hAnsi="Verdana"/>
                <w:lang w:val="en-US"/>
              </w:rPr>
            </w:pPr>
          </w:p>
          <w:p w14:paraId="332DE05B" w14:textId="77777777" w:rsidR="004112EB" w:rsidRDefault="004112EB" w:rsidP="008B6E87">
            <w:pPr>
              <w:spacing w:before="120" w:after="120" w:line="276" w:lineRule="auto"/>
              <w:rPr>
                <w:rFonts w:ascii="Verdana" w:hAnsi="Verdana"/>
                <w:lang w:val="en-US"/>
              </w:rPr>
            </w:pPr>
          </w:p>
          <w:p w14:paraId="0204BEDB" w14:textId="77777777" w:rsidR="004112EB" w:rsidRDefault="004112EB" w:rsidP="008B6E87">
            <w:pPr>
              <w:spacing w:before="120" w:after="120" w:line="276" w:lineRule="auto"/>
              <w:rPr>
                <w:rFonts w:ascii="Verdana" w:hAnsi="Verdana"/>
                <w:lang w:val="en-US"/>
              </w:rPr>
            </w:pPr>
          </w:p>
          <w:p w14:paraId="0B1A8917" w14:textId="77777777" w:rsidR="004112EB" w:rsidRDefault="004112EB" w:rsidP="008B6E87">
            <w:pPr>
              <w:spacing w:before="120" w:after="120" w:line="276" w:lineRule="auto"/>
              <w:rPr>
                <w:rFonts w:ascii="Verdana" w:hAnsi="Verdana"/>
                <w:lang w:val="en-US"/>
              </w:rPr>
            </w:pPr>
          </w:p>
          <w:p w14:paraId="1409ED4F" w14:textId="77777777" w:rsidR="004112EB" w:rsidRDefault="004112EB" w:rsidP="008B6E87">
            <w:pPr>
              <w:spacing w:before="120" w:after="120" w:line="276" w:lineRule="auto"/>
              <w:rPr>
                <w:rFonts w:ascii="Verdana" w:hAnsi="Verdana"/>
                <w:lang w:val="en-US"/>
              </w:rPr>
            </w:pPr>
          </w:p>
          <w:p w14:paraId="5BE1B1C6" w14:textId="77777777" w:rsidR="004112EB" w:rsidRDefault="004112EB" w:rsidP="008B6E87">
            <w:pPr>
              <w:spacing w:before="120" w:after="120" w:line="276" w:lineRule="auto"/>
              <w:rPr>
                <w:rFonts w:ascii="Verdana" w:hAnsi="Verdana"/>
                <w:lang w:val="en-US"/>
              </w:rPr>
            </w:pPr>
          </w:p>
          <w:p w14:paraId="7C6DF1D3" w14:textId="77777777" w:rsidR="004112EB" w:rsidRDefault="004112EB" w:rsidP="008B6E87">
            <w:pPr>
              <w:spacing w:before="120" w:after="120" w:line="276" w:lineRule="auto"/>
              <w:rPr>
                <w:rFonts w:ascii="Verdana" w:hAnsi="Verdana"/>
                <w:lang w:val="en-US"/>
              </w:rPr>
            </w:pPr>
          </w:p>
          <w:p w14:paraId="787AC510" w14:textId="77777777" w:rsidR="00870D32" w:rsidRDefault="00870D32" w:rsidP="008B6E87">
            <w:pPr>
              <w:spacing w:before="120" w:after="120" w:line="276" w:lineRule="auto"/>
              <w:rPr>
                <w:rFonts w:ascii="Verdana" w:hAnsi="Verdana"/>
                <w:lang w:val="en-US"/>
              </w:rPr>
            </w:pPr>
          </w:p>
          <w:p w14:paraId="6419F503" w14:textId="04685FBF" w:rsidR="00491F03" w:rsidRDefault="00491F03" w:rsidP="008B6E87">
            <w:pPr>
              <w:spacing w:before="120" w:after="120" w:line="276" w:lineRule="auto"/>
              <w:rPr>
                <w:rFonts w:ascii="Verdana" w:hAnsi="Verdana"/>
                <w:lang w:val="en-US"/>
              </w:rPr>
            </w:pPr>
            <w:r>
              <w:rPr>
                <w:rFonts w:ascii="Verdana" w:hAnsi="Verdana"/>
                <w:lang w:val="en-US"/>
              </w:rPr>
              <w:t>There are specific fields to complete, when uploading data onto the platform, and this is done manually not by using an MIS data extraction tool.  So only the minimum required data is shared.</w:t>
            </w:r>
          </w:p>
          <w:p w14:paraId="52D96FA5" w14:textId="77777777" w:rsidR="00491F03" w:rsidRDefault="00491F03" w:rsidP="008B6E87">
            <w:pPr>
              <w:spacing w:before="120" w:after="120" w:line="276" w:lineRule="auto"/>
              <w:rPr>
                <w:rFonts w:ascii="Verdana" w:hAnsi="Verdana"/>
                <w:lang w:val="en-US"/>
              </w:rPr>
            </w:pPr>
            <w:r>
              <w:rPr>
                <w:rFonts w:ascii="Verdana" w:hAnsi="Verdana"/>
                <w:lang w:val="en-US"/>
              </w:rPr>
              <w:t>The following advice is issued to schools around data quality:</w:t>
            </w:r>
          </w:p>
          <w:p w14:paraId="2934A3FC" w14:textId="77777777" w:rsidR="00491F03" w:rsidRDefault="00491F03" w:rsidP="004A21D6">
            <w:pPr>
              <w:spacing w:before="120" w:after="120"/>
              <w:rPr>
                <w:rFonts w:ascii="Verdana" w:hAnsi="Verdana"/>
                <w:lang w:val="en-US"/>
              </w:rPr>
            </w:pPr>
          </w:p>
          <w:p w14:paraId="50361124" w14:textId="080A1DD8" w:rsidR="00491F03" w:rsidRPr="00491F03" w:rsidRDefault="00491F03" w:rsidP="004A21D6">
            <w:pPr>
              <w:spacing w:before="120" w:after="120"/>
              <w:rPr>
                <w:rFonts w:ascii="Verdana" w:hAnsi="Verdana"/>
                <w:sz w:val="18"/>
                <w:szCs w:val="18"/>
                <w:lang w:val="en-US"/>
              </w:rPr>
            </w:pPr>
            <w:r>
              <w:rPr>
                <w:rFonts w:ascii="Verdana" w:hAnsi="Verdana"/>
                <w:sz w:val="18"/>
                <w:szCs w:val="18"/>
                <w:lang w:val="en-US"/>
              </w:rPr>
              <w:t>“</w:t>
            </w:r>
            <w:r w:rsidRPr="00491F03">
              <w:rPr>
                <w:rFonts w:ascii="Verdana" w:hAnsi="Verdana"/>
                <w:sz w:val="18"/>
                <w:szCs w:val="18"/>
                <w:lang w:val="en-US"/>
              </w:rPr>
              <w:t>You can alter any saved work.  Once the data has been published it cannot be amended.  If it is a minor mistake, we would ask you to contact the school directly.  If it is a major problem, such as the UPNs are not matched up correctly to the names, please contact support.</w:t>
            </w:r>
            <w:r>
              <w:rPr>
                <w:rFonts w:ascii="Verdana" w:hAnsi="Verdana"/>
                <w:sz w:val="18"/>
                <w:szCs w:val="18"/>
                <w:lang w:val="en-US"/>
              </w:rPr>
              <w:t>”</w:t>
            </w:r>
          </w:p>
          <w:p w14:paraId="7A9CFAEF" w14:textId="77777777" w:rsidR="00491F03" w:rsidRDefault="00491F03" w:rsidP="004A21D6">
            <w:pPr>
              <w:spacing w:before="120" w:after="120"/>
              <w:rPr>
                <w:rFonts w:ascii="Verdana" w:hAnsi="Verdana"/>
                <w:lang w:val="en-US"/>
              </w:rPr>
            </w:pPr>
          </w:p>
          <w:p w14:paraId="2A710A99" w14:textId="50E1A4BE" w:rsidR="00491F03" w:rsidRDefault="00491F03" w:rsidP="004A21D6">
            <w:pPr>
              <w:spacing w:before="120" w:after="120"/>
              <w:rPr>
                <w:rFonts w:ascii="Verdana" w:hAnsi="Verdana"/>
                <w:lang w:val="en-US"/>
              </w:rPr>
            </w:pPr>
            <w:r>
              <w:rPr>
                <w:rFonts w:ascii="Verdana" w:hAnsi="Verdana"/>
                <w:lang w:val="en-US"/>
              </w:rPr>
              <w:t>The following is included in the T&amp;Cs in relation to Data Subjects’ rights:</w:t>
            </w:r>
          </w:p>
          <w:p w14:paraId="7657EA8C" w14:textId="77777777" w:rsidR="00491F03" w:rsidRPr="00491F03" w:rsidRDefault="00491F03" w:rsidP="00491F03">
            <w:pPr>
              <w:ind w:left="360"/>
              <w:rPr>
                <w:rFonts w:ascii="Verdana" w:hAnsi="Verdana"/>
                <w:sz w:val="18"/>
                <w:szCs w:val="18"/>
              </w:rPr>
            </w:pPr>
            <w:r w:rsidRPr="00491F03">
              <w:rPr>
                <w:rFonts w:ascii="Verdana" w:hAnsi="Verdana"/>
                <w:sz w:val="18"/>
                <w:szCs w:val="18"/>
              </w:rPr>
              <w:t>The Company shall provide all reasonable and timely assistance (including by appropriate technical and organisational measures) to the School to enable the School to respond to:</w:t>
            </w:r>
          </w:p>
          <w:p w14:paraId="25CDEAEE" w14:textId="77777777" w:rsidR="00491F03" w:rsidRPr="00491F03" w:rsidRDefault="00491F03" w:rsidP="00491F03">
            <w:pPr>
              <w:ind w:left="720"/>
              <w:rPr>
                <w:rFonts w:ascii="Verdana" w:hAnsi="Verdana"/>
                <w:sz w:val="18"/>
                <w:szCs w:val="18"/>
              </w:rPr>
            </w:pPr>
            <w:r w:rsidRPr="00491F03">
              <w:rPr>
                <w:rFonts w:ascii="Verdana" w:hAnsi="Verdana"/>
                <w:sz w:val="18"/>
                <w:szCs w:val="18"/>
              </w:rPr>
              <w:t xml:space="preserve"> any request from a Data Subject to exercise rights under Applicable Data Protection Law (including its rights of access, correction, objection, erasure and data portability, as applicable); and</w:t>
            </w:r>
          </w:p>
          <w:p w14:paraId="67BA7FDB" w14:textId="77777777" w:rsidR="00491F03" w:rsidRPr="00491F03" w:rsidRDefault="00491F03" w:rsidP="00491F03">
            <w:pPr>
              <w:ind w:left="720"/>
            </w:pPr>
            <w:r w:rsidRPr="00491F03">
              <w:rPr>
                <w:rFonts w:ascii="Verdana" w:hAnsi="Verdana"/>
                <w:sz w:val="18"/>
                <w:szCs w:val="18"/>
              </w:rPr>
              <w:t xml:space="preserve"> any other correspondence, enquiry or complaint received from a Data Subject, regulator or other third party in connection with the processing of the Data.</w:t>
            </w:r>
          </w:p>
          <w:p w14:paraId="7B79EC07" w14:textId="77777777" w:rsidR="00491F03" w:rsidRDefault="00491F03" w:rsidP="004A21D6">
            <w:pPr>
              <w:spacing w:before="120" w:after="120"/>
              <w:rPr>
                <w:rFonts w:ascii="Verdana" w:hAnsi="Verdana"/>
                <w:lang w:val="en-US"/>
              </w:rPr>
            </w:pPr>
          </w:p>
          <w:p w14:paraId="1F2902A1" w14:textId="396C0511" w:rsidR="00491F03" w:rsidRDefault="00491F03" w:rsidP="00491F03">
            <w:pPr>
              <w:spacing w:before="120" w:after="120"/>
              <w:rPr>
                <w:rFonts w:ascii="Verdana" w:hAnsi="Verdana"/>
                <w:lang w:val="en-US"/>
              </w:rPr>
            </w:pPr>
            <w:r w:rsidRPr="00491F03">
              <w:rPr>
                <w:rFonts w:ascii="Verdana" w:hAnsi="Verdana"/>
                <w:lang w:val="en-US"/>
              </w:rPr>
              <w:t xml:space="preserve">The following is included in the T&amp;Cs in relation to </w:t>
            </w:r>
            <w:r>
              <w:rPr>
                <w:rFonts w:ascii="Verdana" w:hAnsi="Verdana"/>
                <w:lang w:val="en-US"/>
              </w:rPr>
              <w:t xml:space="preserve">International </w:t>
            </w:r>
            <w:r w:rsidR="00EE5375">
              <w:rPr>
                <w:rFonts w:ascii="Verdana" w:hAnsi="Verdana"/>
                <w:lang w:val="en-US"/>
              </w:rPr>
              <w:t>Transfers</w:t>
            </w:r>
            <w:r w:rsidRPr="00491F03">
              <w:rPr>
                <w:rFonts w:ascii="Verdana" w:hAnsi="Verdana"/>
                <w:lang w:val="en-US"/>
              </w:rPr>
              <w:t>:</w:t>
            </w:r>
          </w:p>
          <w:p w14:paraId="1B31DF95" w14:textId="6155085F" w:rsidR="00B1528D" w:rsidRDefault="00491F03" w:rsidP="00491F03">
            <w:pPr>
              <w:spacing w:before="120" w:after="120"/>
              <w:rPr>
                <w:rFonts w:ascii="Verdana" w:hAnsi="Verdana"/>
                <w:sz w:val="18"/>
                <w:szCs w:val="18"/>
                <w:lang w:val="en-US"/>
              </w:rPr>
            </w:pPr>
            <w:r>
              <w:rPr>
                <w:rFonts w:ascii="Verdana" w:hAnsi="Verdana"/>
                <w:lang w:val="en-US"/>
              </w:rPr>
              <w:tab/>
            </w:r>
            <w:r w:rsidRPr="00491F03">
              <w:rPr>
                <w:rFonts w:ascii="Verdana" w:hAnsi="Verdana"/>
                <w:sz w:val="18"/>
                <w:szCs w:val="18"/>
                <w:lang w:val="en-US"/>
              </w:rPr>
              <w:t>The Company shall not transfer the Data (nor permit the Data to be transferred) outside of the European Economic Area ("EEA") unless it first takes such measures as are necessary to ensure any such transfer is in compliance with Applicable Data Protection Law.</w:t>
            </w:r>
          </w:p>
          <w:p w14:paraId="162F1A27" w14:textId="280B0464" w:rsidR="00C307DC" w:rsidRPr="00B1528D" w:rsidRDefault="00B1528D" w:rsidP="00B1528D">
            <w:pPr>
              <w:tabs>
                <w:tab w:val="left" w:pos="2770"/>
              </w:tabs>
              <w:rPr>
                <w:rFonts w:ascii="Verdana" w:hAnsi="Verdana"/>
                <w:sz w:val="18"/>
                <w:szCs w:val="18"/>
                <w:lang w:val="en-US"/>
              </w:rPr>
            </w:pPr>
            <w:r>
              <w:rPr>
                <w:rFonts w:ascii="Verdana" w:hAnsi="Verdana"/>
                <w:sz w:val="18"/>
                <w:szCs w:val="18"/>
                <w:lang w:val="en-US"/>
              </w:rPr>
              <w:tab/>
            </w:r>
          </w:p>
        </w:tc>
      </w:tr>
    </w:tbl>
    <w:p w14:paraId="3E4BB817" w14:textId="79E22517" w:rsidR="00B1528D" w:rsidRDefault="00B1528D" w:rsidP="00B1528D">
      <w:pPr>
        <w:pStyle w:val="Heading1"/>
        <w:rPr>
          <w:lang w:eastAsia="en-GB"/>
        </w:rPr>
      </w:pPr>
      <w:r>
        <w:rPr>
          <w:lang w:eastAsia="en-GB"/>
        </w:rPr>
        <w:lastRenderedPageBreak/>
        <w:br w:type="page"/>
      </w:r>
    </w:p>
    <w:p w14:paraId="4133F96E" w14:textId="77777777" w:rsidR="00B1528D" w:rsidRDefault="00B1528D" w:rsidP="000959FF">
      <w:pPr>
        <w:pStyle w:val="Heading1"/>
        <w:rPr>
          <w:lang w:eastAsia="en-GB"/>
        </w:rPr>
        <w:sectPr w:rsidR="00B1528D" w:rsidSect="00B1528D">
          <w:footerReference w:type="default" r:id="rId15"/>
          <w:pgSz w:w="11906" w:h="16838"/>
          <w:pgMar w:top="1440" w:right="992" w:bottom="1440" w:left="1134" w:header="709" w:footer="709" w:gutter="0"/>
          <w:cols w:space="708"/>
          <w:docGrid w:linePitch="360"/>
        </w:sectPr>
      </w:pPr>
    </w:p>
    <w:p w14:paraId="1449CD5A" w14:textId="55693C1D" w:rsidR="00D7227C" w:rsidRPr="000959FF" w:rsidRDefault="00B1528D" w:rsidP="000959FF">
      <w:pPr>
        <w:pStyle w:val="Heading1"/>
        <w:rPr>
          <w:lang w:eastAsia="en-GB"/>
        </w:rPr>
      </w:pPr>
      <w:r>
        <w:rPr>
          <w:lang w:eastAsia="en-GB"/>
        </w:rPr>
        <w:lastRenderedPageBreak/>
        <w:t xml:space="preserve">Step 5: Identify, </w:t>
      </w:r>
      <w:r w:rsidR="00D7227C" w:rsidRPr="000959FF">
        <w:rPr>
          <w:lang w:eastAsia="en-GB"/>
        </w:rPr>
        <w:t>assess risks</w:t>
      </w:r>
      <w:r>
        <w:rPr>
          <w:lang w:eastAsia="en-GB"/>
        </w:rPr>
        <w:t xml:space="preserve"> and mitigate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1952"/>
        <w:gridCol w:w="1424"/>
        <w:gridCol w:w="1027"/>
        <w:gridCol w:w="1144"/>
        <w:gridCol w:w="1052"/>
        <w:gridCol w:w="1004"/>
        <w:gridCol w:w="720"/>
        <w:gridCol w:w="4145"/>
        <w:gridCol w:w="720"/>
      </w:tblGrid>
      <w:tr w:rsidR="0064363D" w:rsidRPr="00325D85" w14:paraId="2AF5FF9B" w14:textId="77777777" w:rsidTr="1A7254B8">
        <w:tc>
          <w:tcPr>
            <w:tcW w:w="272" w:type="pct"/>
            <w:tcBorders>
              <w:top w:val="single" w:sz="4" w:space="0" w:color="auto"/>
              <w:left w:val="single" w:sz="4" w:space="0" w:color="auto"/>
              <w:bottom w:val="single" w:sz="4" w:space="0" w:color="auto"/>
              <w:right w:val="single" w:sz="4" w:space="0" w:color="auto"/>
            </w:tcBorders>
            <w:shd w:val="clear" w:color="auto" w:fill="0070C0"/>
          </w:tcPr>
          <w:p w14:paraId="623EC29C" w14:textId="77777777" w:rsidR="00B1528D" w:rsidRPr="00325D85" w:rsidRDefault="00B1528D" w:rsidP="00535910">
            <w:pPr>
              <w:spacing w:before="40" w:after="40"/>
              <w:jc w:val="center"/>
              <w:rPr>
                <w:rFonts w:cs="Arial"/>
                <w:b/>
                <w:color w:val="FFFFFF" w:themeColor="background1"/>
                <w:sz w:val="17"/>
                <w:szCs w:val="17"/>
              </w:rPr>
            </w:pPr>
            <w:r>
              <w:rPr>
                <w:rFonts w:cs="Arial"/>
                <w:b/>
                <w:color w:val="FFFFFF" w:themeColor="background1"/>
                <w:sz w:val="17"/>
                <w:szCs w:val="17"/>
              </w:rPr>
              <w:t xml:space="preserve">Stage </w:t>
            </w:r>
          </w:p>
        </w:tc>
        <w:tc>
          <w:tcPr>
            <w:tcW w:w="700" w:type="pct"/>
            <w:tcBorders>
              <w:top w:val="single" w:sz="4" w:space="0" w:color="auto"/>
              <w:left w:val="single" w:sz="4" w:space="0" w:color="auto"/>
              <w:bottom w:val="single" w:sz="4" w:space="0" w:color="auto"/>
              <w:right w:val="single" w:sz="4" w:space="0" w:color="auto"/>
            </w:tcBorders>
            <w:shd w:val="clear" w:color="auto" w:fill="0070C0"/>
            <w:vAlign w:val="center"/>
          </w:tcPr>
          <w:p w14:paraId="1CBCD123"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Risk Description</w:t>
            </w:r>
          </w:p>
        </w:tc>
        <w:tc>
          <w:tcPr>
            <w:tcW w:w="511" w:type="pct"/>
            <w:tcBorders>
              <w:top w:val="single" w:sz="4" w:space="0" w:color="auto"/>
              <w:left w:val="single" w:sz="4" w:space="0" w:color="auto"/>
              <w:bottom w:val="single" w:sz="4" w:space="0" w:color="auto"/>
              <w:right w:val="single" w:sz="4" w:space="0" w:color="auto"/>
            </w:tcBorders>
            <w:shd w:val="clear" w:color="auto" w:fill="0070C0"/>
            <w:vAlign w:val="center"/>
          </w:tcPr>
          <w:p w14:paraId="12AFE5DD"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Potential impact</w:t>
            </w:r>
          </w:p>
        </w:tc>
        <w:tc>
          <w:tcPr>
            <w:tcW w:w="368" w:type="pct"/>
            <w:tcBorders>
              <w:top w:val="single" w:sz="4" w:space="0" w:color="auto"/>
              <w:left w:val="single" w:sz="4" w:space="0" w:color="auto"/>
              <w:bottom w:val="single" w:sz="4" w:space="0" w:color="auto"/>
              <w:right w:val="single" w:sz="4" w:space="0" w:color="auto"/>
            </w:tcBorders>
            <w:shd w:val="clear" w:color="auto" w:fill="0070C0"/>
            <w:vAlign w:val="center"/>
          </w:tcPr>
          <w:p w14:paraId="011200F7"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Owner</w:t>
            </w:r>
          </w:p>
        </w:tc>
        <w:tc>
          <w:tcPr>
            <w:tcW w:w="410" w:type="pct"/>
            <w:tcBorders>
              <w:top w:val="single" w:sz="4" w:space="0" w:color="auto"/>
              <w:left w:val="single" w:sz="4" w:space="0" w:color="auto"/>
              <w:bottom w:val="single" w:sz="4" w:space="0" w:color="auto"/>
              <w:right w:val="single" w:sz="4" w:space="0" w:color="auto"/>
            </w:tcBorders>
            <w:shd w:val="clear" w:color="auto" w:fill="0070C0"/>
            <w:vAlign w:val="center"/>
          </w:tcPr>
          <w:p w14:paraId="2ABBC79E"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Priority</w:t>
            </w:r>
          </w:p>
        </w:tc>
        <w:tc>
          <w:tcPr>
            <w:tcW w:w="377" w:type="pct"/>
            <w:tcBorders>
              <w:top w:val="single" w:sz="4" w:space="0" w:color="auto"/>
              <w:left w:val="single" w:sz="4" w:space="0" w:color="auto"/>
              <w:bottom w:val="single" w:sz="4" w:space="0" w:color="auto"/>
              <w:right w:val="single" w:sz="4" w:space="0" w:color="auto"/>
            </w:tcBorders>
            <w:shd w:val="clear" w:color="auto" w:fill="0070C0"/>
            <w:vAlign w:val="center"/>
          </w:tcPr>
          <w:p w14:paraId="00E5C19C"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Prospect</w:t>
            </w:r>
          </w:p>
        </w:tc>
        <w:tc>
          <w:tcPr>
            <w:tcW w:w="360" w:type="pct"/>
            <w:tcBorders>
              <w:top w:val="single" w:sz="4" w:space="0" w:color="auto"/>
              <w:left w:val="single" w:sz="4" w:space="0" w:color="auto"/>
              <w:bottom w:val="single" w:sz="4" w:space="0" w:color="auto"/>
              <w:right w:val="single" w:sz="4" w:space="0" w:color="auto"/>
            </w:tcBorders>
            <w:shd w:val="clear" w:color="auto" w:fill="0070C0"/>
            <w:vAlign w:val="center"/>
          </w:tcPr>
          <w:p w14:paraId="0941280C" w14:textId="77777777" w:rsidR="00B1528D" w:rsidRPr="00325D85" w:rsidRDefault="00B1528D" w:rsidP="00535910">
            <w:pPr>
              <w:spacing w:before="40" w:after="40"/>
              <w:jc w:val="center"/>
              <w:rPr>
                <w:rFonts w:cs="Arial"/>
                <w:b/>
                <w:color w:val="FFFFFF" w:themeColor="background1"/>
                <w:sz w:val="17"/>
                <w:szCs w:val="17"/>
                <w:vertAlign w:val="superscript"/>
              </w:rPr>
            </w:pPr>
            <w:r w:rsidRPr="00325D85">
              <w:rPr>
                <w:rFonts w:cs="Arial"/>
                <w:b/>
                <w:color w:val="FFFFFF" w:themeColor="background1"/>
                <w:sz w:val="17"/>
                <w:szCs w:val="17"/>
              </w:rPr>
              <w:t>Severity</w:t>
            </w:r>
          </w:p>
        </w:tc>
        <w:tc>
          <w:tcPr>
            <w:tcW w:w="258" w:type="pct"/>
            <w:tcBorders>
              <w:top w:val="single" w:sz="4" w:space="0" w:color="auto"/>
              <w:left w:val="single" w:sz="4" w:space="0" w:color="auto"/>
              <w:bottom w:val="single" w:sz="4" w:space="0" w:color="auto"/>
              <w:right w:val="single" w:sz="4" w:space="0" w:color="auto"/>
            </w:tcBorders>
            <w:shd w:val="clear" w:color="auto" w:fill="0070C0"/>
            <w:vAlign w:val="center"/>
          </w:tcPr>
          <w:p w14:paraId="23AA1031"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Risk Level</w:t>
            </w:r>
          </w:p>
        </w:tc>
        <w:tc>
          <w:tcPr>
            <w:tcW w:w="1486" w:type="pct"/>
            <w:tcBorders>
              <w:top w:val="single" w:sz="4" w:space="0" w:color="auto"/>
              <w:left w:val="single" w:sz="4" w:space="0" w:color="auto"/>
              <w:bottom w:val="single" w:sz="4" w:space="0" w:color="auto"/>
              <w:right w:val="single" w:sz="4" w:space="0" w:color="auto"/>
            </w:tcBorders>
            <w:shd w:val="clear" w:color="auto" w:fill="0070C0"/>
            <w:vAlign w:val="center"/>
          </w:tcPr>
          <w:p w14:paraId="4E3BFB7F"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Control Measures to Minimise Risk</w:t>
            </w:r>
          </w:p>
        </w:tc>
        <w:tc>
          <w:tcPr>
            <w:tcW w:w="258" w:type="pct"/>
            <w:tcBorders>
              <w:top w:val="single" w:sz="4" w:space="0" w:color="auto"/>
              <w:left w:val="single" w:sz="4" w:space="0" w:color="auto"/>
              <w:bottom w:val="single" w:sz="4" w:space="0" w:color="auto"/>
              <w:right w:val="single" w:sz="4" w:space="0" w:color="auto"/>
            </w:tcBorders>
            <w:shd w:val="clear" w:color="auto" w:fill="0070C0"/>
            <w:vAlign w:val="center"/>
          </w:tcPr>
          <w:p w14:paraId="6E2C0CDA"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New Level</w:t>
            </w:r>
          </w:p>
        </w:tc>
      </w:tr>
      <w:tr w:rsidR="00B1528D" w:rsidRPr="00325D85" w14:paraId="0CBE96EB" w14:textId="77777777" w:rsidTr="1A7254B8">
        <w:tc>
          <w:tcPr>
            <w:tcW w:w="272" w:type="pct"/>
            <w:vMerge w:val="restart"/>
            <w:tcBorders>
              <w:left w:val="single" w:sz="4" w:space="0" w:color="auto"/>
              <w:right w:val="single" w:sz="4" w:space="0" w:color="auto"/>
            </w:tcBorders>
            <w:vAlign w:val="center"/>
          </w:tcPr>
          <w:p w14:paraId="0BEA7775" w14:textId="77777777" w:rsidR="00B1528D" w:rsidRPr="00325D85" w:rsidRDefault="00B1528D" w:rsidP="00535910">
            <w:pPr>
              <w:jc w:val="center"/>
              <w:rPr>
                <w:rFonts w:cs="Arial"/>
                <w:b/>
                <w:sz w:val="17"/>
                <w:szCs w:val="17"/>
              </w:rPr>
            </w:pPr>
            <w:r>
              <w:rPr>
                <w:rFonts w:cs="Arial"/>
                <w:b/>
                <w:sz w:val="17"/>
                <w:szCs w:val="17"/>
              </w:rPr>
              <w:t>GDPR</w:t>
            </w:r>
          </w:p>
        </w:tc>
        <w:tc>
          <w:tcPr>
            <w:tcW w:w="700" w:type="pct"/>
            <w:tcBorders>
              <w:top w:val="single" w:sz="4" w:space="0" w:color="auto"/>
              <w:left w:val="single" w:sz="4" w:space="0" w:color="auto"/>
              <w:bottom w:val="single" w:sz="4" w:space="0" w:color="auto"/>
              <w:right w:val="single" w:sz="4" w:space="0" w:color="auto"/>
            </w:tcBorders>
          </w:tcPr>
          <w:p w14:paraId="3CF57A47" w14:textId="10A0EE4E" w:rsidR="00B1528D" w:rsidRPr="00CD60E4" w:rsidRDefault="0064363D" w:rsidP="00535910">
            <w:pPr>
              <w:pStyle w:val="BodyText"/>
              <w:spacing w:before="10"/>
              <w:rPr>
                <w:rFonts w:ascii="Arial" w:eastAsia="Times New Roman" w:hAnsi="Arial" w:cs="Times New Roman"/>
                <w:sz w:val="17"/>
                <w:szCs w:val="17"/>
                <w:lang w:eastAsia="en-US" w:bidi="ar-SA"/>
              </w:rPr>
            </w:pPr>
            <w:r>
              <w:rPr>
                <w:rFonts w:ascii="Arial" w:eastAsia="Times New Roman" w:hAnsi="Arial" w:cs="Times New Roman"/>
                <w:sz w:val="17"/>
                <w:szCs w:val="17"/>
                <w:lang w:eastAsia="en-US" w:bidi="ar-SA"/>
              </w:rPr>
              <w:t>I</w:t>
            </w:r>
            <w:r w:rsidR="00B1528D" w:rsidRPr="00CD60E4">
              <w:rPr>
                <w:rFonts w:ascii="Arial" w:eastAsia="Times New Roman" w:hAnsi="Arial" w:cs="Times New Roman"/>
                <w:sz w:val="17"/>
                <w:szCs w:val="17"/>
                <w:lang w:eastAsia="en-US" w:bidi="ar-SA"/>
              </w:rPr>
              <w:t xml:space="preserve">naccurate data provisioned. </w:t>
            </w:r>
          </w:p>
          <w:p w14:paraId="3060C72B" w14:textId="77777777" w:rsidR="00B1528D" w:rsidRPr="00CD60E4" w:rsidRDefault="00B1528D" w:rsidP="00535910">
            <w:pPr>
              <w:pStyle w:val="BodyText"/>
              <w:spacing w:before="10"/>
              <w:rPr>
                <w:rFonts w:ascii="Arial" w:eastAsia="Times New Roman" w:hAnsi="Arial" w:cs="Times New Roman"/>
                <w:sz w:val="17"/>
                <w:szCs w:val="17"/>
                <w:lang w:eastAsia="en-US" w:bidi="ar-SA"/>
              </w:rPr>
            </w:pPr>
            <w:r w:rsidRPr="00CD60E4">
              <w:rPr>
                <w:rFonts w:ascii="Arial" w:eastAsia="Times New Roman" w:hAnsi="Arial" w:cs="Times New Roman"/>
                <w:sz w:val="17"/>
                <w:szCs w:val="17"/>
                <w:lang w:eastAsia="en-US" w:bidi="ar-SA"/>
              </w:rPr>
              <w:t>Risks would include non-compliance (data being accurate and up to date) as well as corporate risks (loss of credibility, risks of enforcement action, press coverage etc.)</w:t>
            </w:r>
          </w:p>
          <w:p w14:paraId="0BC57A24" w14:textId="77777777" w:rsidR="00B1528D" w:rsidRDefault="00B1528D" w:rsidP="00535910">
            <w:pPr>
              <w:rPr>
                <w:sz w:val="17"/>
                <w:szCs w:val="17"/>
              </w:rPr>
            </w:pPr>
          </w:p>
        </w:tc>
        <w:tc>
          <w:tcPr>
            <w:tcW w:w="511" w:type="pct"/>
            <w:tcBorders>
              <w:top w:val="single" w:sz="4" w:space="0" w:color="auto"/>
              <w:left w:val="single" w:sz="4" w:space="0" w:color="auto"/>
              <w:bottom w:val="single" w:sz="4" w:space="0" w:color="auto"/>
              <w:right w:val="single" w:sz="4" w:space="0" w:color="auto"/>
            </w:tcBorders>
          </w:tcPr>
          <w:p w14:paraId="31EB6F6D" w14:textId="77777777" w:rsidR="00B1528D" w:rsidRPr="00CD60E4" w:rsidRDefault="00B1528D" w:rsidP="00535910">
            <w:pPr>
              <w:pStyle w:val="BodyText"/>
              <w:spacing w:before="10"/>
              <w:rPr>
                <w:rFonts w:ascii="Arial" w:eastAsia="Times New Roman" w:hAnsi="Arial" w:cs="Times New Roman"/>
                <w:sz w:val="17"/>
                <w:szCs w:val="17"/>
                <w:lang w:eastAsia="en-US" w:bidi="ar-SA"/>
              </w:rPr>
            </w:pPr>
            <w:r w:rsidRPr="00CD60E4">
              <w:rPr>
                <w:rFonts w:ascii="Arial" w:eastAsia="Times New Roman" w:hAnsi="Arial" w:cs="Times New Roman"/>
                <w:sz w:val="17"/>
                <w:szCs w:val="17"/>
                <w:lang w:eastAsia="en-US" w:bidi="ar-SA"/>
              </w:rPr>
              <w:t>Potential impact on individuals would include loss of confidentiality and potential embarrassment depending on nature of inaccurate data processed.</w:t>
            </w:r>
          </w:p>
          <w:p w14:paraId="301E72DA"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1B28EF43" w14:textId="77777777" w:rsidR="00B1528D" w:rsidRDefault="00B1528D" w:rsidP="00535910">
            <w:pPr>
              <w:jc w:val="center"/>
              <w:rPr>
                <w:rFonts w:cs="Arial"/>
                <w:sz w:val="17"/>
                <w:szCs w:val="17"/>
              </w:rPr>
            </w:pPr>
            <w:r>
              <w:rPr>
                <w:rFonts w:cs="Arial"/>
                <w:sz w:val="17"/>
                <w:szCs w:val="17"/>
              </w:rPr>
              <w:t>School</w:t>
            </w:r>
          </w:p>
        </w:tc>
        <w:tc>
          <w:tcPr>
            <w:tcW w:w="410" w:type="pct"/>
            <w:tcBorders>
              <w:top w:val="single" w:sz="4" w:space="0" w:color="auto"/>
              <w:left w:val="single" w:sz="4" w:space="0" w:color="auto"/>
              <w:bottom w:val="single" w:sz="4" w:space="0" w:color="auto"/>
              <w:right w:val="single" w:sz="4" w:space="0" w:color="auto"/>
            </w:tcBorders>
            <w:vAlign w:val="center"/>
          </w:tcPr>
          <w:p w14:paraId="0C6F9D8F"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30FC1D9D" w14:textId="77777777" w:rsidR="00B1528D" w:rsidRDefault="00B1528D" w:rsidP="00535910">
            <w:pPr>
              <w:jc w:val="center"/>
              <w:rPr>
                <w:rFonts w:cs="Arial"/>
                <w:sz w:val="17"/>
                <w:szCs w:val="17"/>
              </w:rPr>
            </w:pPr>
            <w:r>
              <w:rPr>
                <w:rFonts w:cs="Arial"/>
                <w:sz w:val="17"/>
                <w:szCs w:val="17"/>
              </w:rPr>
              <w:t>4</w:t>
            </w:r>
          </w:p>
        </w:tc>
        <w:tc>
          <w:tcPr>
            <w:tcW w:w="360" w:type="pct"/>
            <w:tcBorders>
              <w:top w:val="single" w:sz="4" w:space="0" w:color="auto"/>
              <w:left w:val="single" w:sz="4" w:space="0" w:color="auto"/>
              <w:bottom w:val="single" w:sz="4" w:space="0" w:color="auto"/>
              <w:right w:val="single" w:sz="4" w:space="0" w:color="auto"/>
            </w:tcBorders>
            <w:vAlign w:val="center"/>
          </w:tcPr>
          <w:p w14:paraId="5308DF62" w14:textId="77777777" w:rsidR="00B1528D" w:rsidRDefault="00B1528D" w:rsidP="00535910">
            <w:pPr>
              <w:jc w:val="center"/>
              <w:rPr>
                <w:rFonts w:cs="Arial"/>
                <w:sz w:val="17"/>
                <w:szCs w:val="17"/>
              </w:rPr>
            </w:pPr>
            <w:r>
              <w:rPr>
                <w:rFonts w:cs="Arial"/>
                <w:sz w:val="17"/>
                <w:szCs w:val="17"/>
              </w:rPr>
              <w:t>2</w:t>
            </w:r>
          </w:p>
        </w:tc>
        <w:tc>
          <w:tcPr>
            <w:tcW w:w="258" w:type="pct"/>
            <w:tcBorders>
              <w:top w:val="single" w:sz="4" w:space="0" w:color="auto"/>
              <w:left w:val="single" w:sz="4" w:space="0" w:color="auto"/>
              <w:bottom w:val="single" w:sz="4" w:space="0" w:color="auto"/>
              <w:right w:val="single" w:sz="4" w:space="0" w:color="auto"/>
            </w:tcBorders>
            <w:shd w:val="clear" w:color="auto" w:fill="FFC000"/>
            <w:vAlign w:val="center"/>
          </w:tcPr>
          <w:p w14:paraId="166E9A28" w14:textId="77777777" w:rsidR="00B1528D" w:rsidRDefault="00B1528D" w:rsidP="00535910">
            <w:pPr>
              <w:jc w:val="center"/>
              <w:rPr>
                <w:rFonts w:cs="Arial"/>
                <w:sz w:val="17"/>
                <w:szCs w:val="17"/>
              </w:rPr>
            </w:pPr>
            <w:r>
              <w:rPr>
                <w:rFonts w:cs="Arial"/>
                <w:sz w:val="17"/>
                <w:szCs w:val="17"/>
              </w:rPr>
              <w:t>M</w:t>
            </w:r>
          </w:p>
        </w:tc>
        <w:tc>
          <w:tcPr>
            <w:tcW w:w="1486" w:type="pct"/>
            <w:tcBorders>
              <w:top w:val="single" w:sz="4" w:space="0" w:color="auto"/>
              <w:left w:val="single" w:sz="4" w:space="0" w:color="auto"/>
              <w:bottom w:val="single" w:sz="4" w:space="0" w:color="auto"/>
              <w:right w:val="single" w:sz="4" w:space="0" w:color="auto"/>
            </w:tcBorders>
          </w:tcPr>
          <w:p w14:paraId="2C1CA50F" w14:textId="65CD9B9E" w:rsidR="00B1528D" w:rsidRDefault="00B1528D" w:rsidP="00535910">
            <w:pPr>
              <w:rPr>
                <w:sz w:val="17"/>
                <w:szCs w:val="17"/>
              </w:rPr>
            </w:pPr>
            <w:r>
              <w:rPr>
                <w:sz w:val="17"/>
                <w:szCs w:val="17"/>
              </w:rPr>
              <w:t>Warning notice – The school takes full responsibility in the accuracy of the data provided in the upload stage</w:t>
            </w:r>
            <w:r w:rsidR="0064363D">
              <w:rPr>
                <w:sz w:val="17"/>
                <w:szCs w:val="17"/>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61F4F096" w14:textId="77777777" w:rsidR="00B1528D" w:rsidRDefault="00B1528D" w:rsidP="00535910">
            <w:pPr>
              <w:jc w:val="center"/>
              <w:rPr>
                <w:rFonts w:cs="Arial"/>
                <w:sz w:val="17"/>
                <w:szCs w:val="17"/>
              </w:rPr>
            </w:pPr>
            <w:r>
              <w:rPr>
                <w:rFonts w:cs="Arial"/>
                <w:sz w:val="17"/>
                <w:szCs w:val="17"/>
              </w:rPr>
              <w:t>L</w:t>
            </w:r>
          </w:p>
        </w:tc>
      </w:tr>
      <w:tr w:rsidR="00B1528D" w:rsidRPr="00325D85" w14:paraId="2A99CBA6" w14:textId="77777777" w:rsidTr="1A7254B8">
        <w:tc>
          <w:tcPr>
            <w:tcW w:w="272" w:type="pct"/>
            <w:vMerge/>
          </w:tcPr>
          <w:p w14:paraId="06B0627B"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37BEC97F" w14:textId="77777777" w:rsidR="00B1528D" w:rsidRPr="005E16B4" w:rsidRDefault="00B1528D" w:rsidP="00535910">
            <w:pPr>
              <w:pStyle w:val="BodyText"/>
              <w:spacing w:before="10"/>
              <w:rPr>
                <w:rFonts w:ascii="Arial" w:eastAsia="Times New Roman" w:hAnsi="Arial" w:cs="Times New Roman"/>
                <w:sz w:val="17"/>
                <w:szCs w:val="17"/>
                <w:lang w:eastAsia="en-US" w:bidi="ar-SA"/>
              </w:rPr>
            </w:pPr>
            <w:r w:rsidRPr="005E16B4">
              <w:rPr>
                <w:rFonts w:ascii="Arial" w:eastAsia="Times New Roman" w:hAnsi="Arial" w:cs="Times New Roman"/>
                <w:sz w:val="17"/>
                <w:szCs w:val="17"/>
                <w:lang w:eastAsia="en-US" w:bidi="ar-SA"/>
              </w:rPr>
              <w:t>Platform processing more personal data than is required for their purpose.</w:t>
            </w:r>
          </w:p>
          <w:p w14:paraId="2D44EB8C" w14:textId="77777777" w:rsidR="00B1528D" w:rsidRPr="005E16B4" w:rsidRDefault="00B1528D" w:rsidP="00535910">
            <w:pPr>
              <w:pStyle w:val="BodyText"/>
              <w:spacing w:before="10"/>
              <w:rPr>
                <w:rFonts w:ascii="Arial" w:eastAsia="Times New Roman" w:hAnsi="Arial" w:cs="Times New Roman"/>
                <w:sz w:val="17"/>
                <w:szCs w:val="17"/>
                <w:lang w:eastAsia="en-US" w:bidi="ar-SA"/>
              </w:rPr>
            </w:pPr>
            <w:r w:rsidRPr="005E16B4">
              <w:rPr>
                <w:rFonts w:ascii="Arial" w:eastAsia="Times New Roman" w:hAnsi="Arial" w:cs="Times New Roman"/>
                <w:sz w:val="17"/>
                <w:szCs w:val="17"/>
                <w:lang w:eastAsia="en-US" w:bidi="ar-SA"/>
              </w:rPr>
              <w:t>Risks would include non-compliance (data being adequate, relevant &amp; limited) as well as corporate risks (loss of credibility, enforcement action being taken, press coverage etc.)</w:t>
            </w:r>
          </w:p>
          <w:p w14:paraId="480D2E9A" w14:textId="77777777" w:rsidR="00B1528D" w:rsidRDefault="00B1528D" w:rsidP="00535910">
            <w:pPr>
              <w:rPr>
                <w:sz w:val="17"/>
                <w:szCs w:val="17"/>
              </w:rPr>
            </w:pPr>
          </w:p>
        </w:tc>
        <w:tc>
          <w:tcPr>
            <w:tcW w:w="511" w:type="pct"/>
            <w:tcBorders>
              <w:top w:val="single" w:sz="4" w:space="0" w:color="auto"/>
              <w:left w:val="single" w:sz="4" w:space="0" w:color="auto"/>
              <w:bottom w:val="single" w:sz="4" w:space="0" w:color="auto"/>
              <w:right w:val="single" w:sz="4" w:space="0" w:color="auto"/>
            </w:tcBorders>
          </w:tcPr>
          <w:p w14:paraId="3CC1B47E" w14:textId="77777777" w:rsidR="00B1528D" w:rsidRPr="005E16B4" w:rsidRDefault="00B1528D" w:rsidP="00535910">
            <w:pPr>
              <w:pStyle w:val="BodyText"/>
              <w:spacing w:before="10"/>
              <w:rPr>
                <w:rFonts w:ascii="Arial" w:eastAsia="Times New Roman" w:hAnsi="Arial" w:cs="Times New Roman"/>
                <w:sz w:val="17"/>
                <w:szCs w:val="17"/>
                <w:lang w:eastAsia="en-US" w:bidi="ar-SA"/>
              </w:rPr>
            </w:pPr>
            <w:r w:rsidRPr="005E16B4">
              <w:rPr>
                <w:rFonts w:ascii="Arial" w:eastAsia="Times New Roman" w:hAnsi="Arial" w:cs="Times New Roman"/>
                <w:sz w:val="17"/>
                <w:szCs w:val="17"/>
                <w:lang w:eastAsia="en-US" w:bidi="ar-SA"/>
              </w:rPr>
              <w:t>Potential impact on individuals would include loss of confidentiality, potential embarrassment and potential harm depending on the nature of the data processed.</w:t>
            </w:r>
          </w:p>
          <w:p w14:paraId="6E362AD9"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2F16C84F" w14:textId="77777777" w:rsidR="00B1528D" w:rsidRDefault="00B1528D" w:rsidP="00535910">
            <w:pPr>
              <w:jc w:val="center"/>
              <w:rPr>
                <w:rFonts w:cs="Arial"/>
                <w:sz w:val="17"/>
                <w:szCs w:val="17"/>
              </w:rPr>
            </w:pPr>
            <w:proofErr w:type="spellStart"/>
            <w:r>
              <w:rPr>
                <w:rFonts w:cs="Arial"/>
                <w:sz w:val="17"/>
                <w:szCs w:val="17"/>
              </w:rPr>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180F53BF"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1F0C8015"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3D9A7A39" w14:textId="77777777" w:rsidR="00B1528D" w:rsidRDefault="00B1528D" w:rsidP="00535910">
            <w:pPr>
              <w:jc w:val="center"/>
              <w:rPr>
                <w:rFonts w:cs="Arial"/>
                <w:sz w:val="17"/>
                <w:szCs w:val="17"/>
              </w:rPr>
            </w:pPr>
            <w:r>
              <w:rPr>
                <w:rFonts w:cs="Arial"/>
                <w:sz w:val="17"/>
                <w:szCs w:val="17"/>
              </w:rPr>
              <w:t>2</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6A4FB951" w14:textId="77777777" w:rsidR="00B1528D" w:rsidRDefault="00B1528D" w:rsidP="00535910">
            <w:pPr>
              <w:jc w:val="center"/>
              <w:rPr>
                <w:rFonts w:cs="Arial"/>
                <w:sz w:val="17"/>
                <w:szCs w:val="17"/>
              </w:rPr>
            </w:pPr>
            <w:r>
              <w:rPr>
                <w:rFonts w:cs="Arial"/>
                <w:sz w:val="17"/>
                <w:szCs w:val="17"/>
              </w:rPr>
              <w:t>L</w:t>
            </w:r>
          </w:p>
        </w:tc>
        <w:tc>
          <w:tcPr>
            <w:tcW w:w="1486" w:type="pct"/>
            <w:tcBorders>
              <w:top w:val="single" w:sz="4" w:space="0" w:color="auto"/>
              <w:left w:val="single" w:sz="4" w:space="0" w:color="auto"/>
              <w:bottom w:val="single" w:sz="4" w:space="0" w:color="auto"/>
              <w:right w:val="single" w:sz="4" w:space="0" w:color="auto"/>
            </w:tcBorders>
          </w:tcPr>
          <w:p w14:paraId="0F8545C0" w14:textId="77777777" w:rsidR="00B1528D" w:rsidRDefault="00B1528D" w:rsidP="00535910">
            <w:pPr>
              <w:rPr>
                <w:sz w:val="17"/>
                <w:szCs w:val="17"/>
              </w:rPr>
            </w:pPr>
            <w:r>
              <w:rPr>
                <w:sz w:val="17"/>
                <w:szCs w:val="17"/>
              </w:rPr>
              <w:t xml:space="preserve">Processing is only performed on the primary schools control of the data through the publish stage. </w:t>
            </w:r>
          </w:p>
          <w:p w14:paraId="06D18AC1" w14:textId="77777777" w:rsidR="00B1528D" w:rsidRDefault="00B1528D" w:rsidP="00535910">
            <w:pPr>
              <w:rPr>
                <w:sz w:val="17"/>
                <w:szCs w:val="17"/>
              </w:rPr>
            </w:pPr>
            <w:r>
              <w:rPr>
                <w:sz w:val="17"/>
                <w:szCs w:val="17"/>
              </w:rPr>
              <w:t>At any point before, during or after can the primary school withdraw its data (including amending, deleting records all or individual)</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2FC4C3D7" w14:textId="77777777" w:rsidR="00B1528D" w:rsidRDefault="00B1528D" w:rsidP="00535910">
            <w:pPr>
              <w:jc w:val="center"/>
              <w:rPr>
                <w:rFonts w:cs="Arial"/>
                <w:sz w:val="17"/>
                <w:szCs w:val="17"/>
              </w:rPr>
            </w:pPr>
            <w:r>
              <w:rPr>
                <w:rFonts w:cs="Arial"/>
                <w:sz w:val="17"/>
                <w:szCs w:val="17"/>
              </w:rPr>
              <w:t>L</w:t>
            </w:r>
          </w:p>
        </w:tc>
      </w:tr>
      <w:tr w:rsidR="00B1528D" w:rsidRPr="00325D85" w14:paraId="79D82075" w14:textId="77777777" w:rsidTr="1A7254B8">
        <w:tc>
          <w:tcPr>
            <w:tcW w:w="272" w:type="pct"/>
            <w:vMerge/>
          </w:tcPr>
          <w:p w14:paraId="69267026"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02A961A3" w14:textId="77777777" w:rsidR="00B1528D" w:rsidRPr="00725A78" w:rsidRDefault="00B1528D" w:rsidP="00535910">
            <w:pPr>
              <w:pStyle w:val="BodyText"/>
              <w:spacing w:before="10"/>
              <w:rPr>
                <w:rFonts w:ascii="Arial" w:eastAsia="Times New Roman" w:hAnsi="Arial" w:cs="Times New Roman"/>
                <w:sz w:val="17"/>
                <w:szCs w:val="17"/>
                <w:lang w:eastAsia="en-US" w:bidi="ar-SA"/>
              </w:rPr>
            </w:pPr>
            <w:r w:rsidRPr="00725A78">
              <w:rPr>
                <w:rFonts w:ascii="Arial" w:eastAsia="Times New Roman" w:hAnsi="Arial" w:cs="Times New Roman"/>
                <w:sz w:val="17"/>
                <w:szCs w:val="17"/>
                <w:lang w:eastAsia="en-US" w:bidi="ar-SA"/>
              </w:rPr>
              <w:t>Passing of personal data to third parties not being authorised by school to receive the data.</w:t>
            </w:r>
          </w:p>
          <w:p w14:paraId="3713590C" w14:textId="77777777" w:rsidR="00B1528D" w:rsidRPr="00725A78" w:rsidRDefault="00B1528D" w:rsidP="00535910">
            <w:pPr>
              <w:pStyle w:val="BodyText"/>
              <w:spacing w:before="10"/>
              <w:rPr>
                <w:rFonts w:ascii="Arial" w:eastAsia="Times New Roman" w:hAnsi="Arial" w:cs="Times New Roman"/>
                <w:sz w:val="17"/>
                <w:szCs w:val="17"/>
                <w:lang w:eastAsia="en-US" w:bidi="ar-SA"/>
              </w:rPr>
            </w:pPr>
            <w:r w:rsidRPr="00725A78">
              <w:rPr>
                <w:rFonts w:ascii="Arial" w:eastAsia="Times New Roman" w:hAnsi="Arial" w:cs="Times New Roman"/>
                <w:sz w:val="17"/>
                <w:szCs w:val="17"/>
                <w:lang w:eastAsia="en-US" w:bidi="ar-SA"/>
              </w:rPr>
              <w:t xml:space="preserve">Risks would include non-compliance (data not used for specified, explicit &amp; legitimate purpose) and corporate (loss of credibility, </w:t>
            </w:r>
            <w:r w:rsidRPr="00725A78">
              <w:rPr>
                <w:rFonts w:ascii="Arial" w:eastAsia="Times New Roman" w:hAnsi="Arial" w:cs="Times New Roman"/>
                <w:sz w:val="17"/>
                <w:szCs w:val="17"/>
                <w:lang w:eastAsia="en-US" w:bidi="ar-SA"/>
              </w:rPr>
              <w:lastRenderedPageBreak/>
              <w:t>enforcement action being taken, press coverage, possible legal action for personal compensation etc.)</w:t>
            </w:r>
          </w:p>
          <w:p w14:paraId="7C4BE8FD" w14:textId="77777777" w:rsidR="00B1528D" w:rsidRDefault="00B1528D" w:rsidP="00535910">
            <w:pPr>
              <w:rPr>
                <w:sz w:val="17"/>
                <w:szCs w:val="17"/>
              </w:rPr>
            </w:pPr>
          </w:p>
          <w:p w14:paraId="07363BA2" w14:textId="77777777" w:rsidR="00B1528D" w:rsidRDefault="00B1528D" w:rsidP="00535910">
            <w:pPr>
              <w:rPr>
                <w:sz w:val="17"/>
                <w:szCs w:val="17"/>
              </w:rPr>
            </w:pPr>
          </w:p>
        </w:tc>
        <w:tc>
          <w:tcPr>
            <w:tcW w:w="511" w:type="pct"/>
            <w:tcBorders>
              <w:top w:val="single" w:sz="4" w:space="0" w:color="auto"/>
              <w:left w:val="single" w:sz="4" w:space="0" w:color="auto"/>
              <w:bottom w:val="single" w:sz="4" w:space="0" w:color="auto"/>
              <w:right w:val="single" w:sz="4" w:space="0" w:color="auto"/>
            </w:tcBorders>
          </w:tcPr>
          <w:p w14:paraId="469A63EF" w14:textId="77777777" w:rsidR="00B1528D" w:rsidRPr="00725A78" w:rsidRDefault="00B1528D" w:rsidP="00535910">
            <w:pPr>
              <w:pStyle w:val="BodyText"/>
              <w:spacing w:before="10"/>
              <w:rPr>
                <w:rFonts w:ascii="Arial" w:eastAsia="Times New Roman" w:hAnsi="Arial" w:cs="Times New Roman"/>
                <w:sz w:val="17"/>
                <w:szCs w:val="17"/>
                <w:lang w:eastAsia="en-US" w:bidi="ar-SA"/>
              </w:rPr>
            </w:pPr>
            <w:r w:rsidRPr="00725A78">
              <w:rPr>
                <w:rFonts w:ascii="Arial" w:eastAsia="Times New Roman" w:hAnsi="Arial" w:cs="Times New Roman"/>
                <w:sz w:val="17"/>
                <w:szCs w:val="17"/>
                <w:lang w:eastAsia="en-US" w:bidi="ar-SA"/>
              </w:rPr>
              <w:lastRenderedPageBreak/>
              <w:t xml:space="preserve">Potential impact on individuals would include loss of confidentiality, potential embarrassment and even harm depending on the nature of the data </w:t>
            </w:r>
            <w:r w:rsidRPr="00725A78">
              <w:rPr>
                <w:rFonts w:ascii="Arial" w:eastAsia="Times New Roman" w:hAnsi="Arial" w:cs="Times New Roman"/>
                <w:sz w:val="17"/>
                <w:szCs w:val="17"/>
                <w:lang w:eastAsia="en-US" w:bidi="ar-SA"/>
              </w:rPr>
              <w:lastRenderedPageBreak/>
              <w:t>transferred incorrectly.</w:t>
            </w:r>
          </w:p>
          <w:p w14:paraId="2BF89680"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7AB27BB2" w14:textId="77777777" w:rsidR="00B1528D" w:rsidRDefault="00B1528D" w:rsidP="00535910">
            <w:pPr>
              <w:jc w:val="center"/>
              <w:rPr>
                <w:rFonts w:cs="Arial"/>
                <w:sz w:val="17"/>
                <w:szCs w:val="17"/>
              </w:rPr>
            </w:pPr>
            <w:proofErr w:type="spellStart"/>
            <w:r>
              <w:rPr>
                <w:rFonts w:cs="Arial"/>
                <w:sz w:val="17"/>
                <w:szCs w:val="17"/>
              </w:rPr>
              <w:lastRenderedPageBreak/>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2C405BA5"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3C0885B5"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2DFE5682" w14:textId="77777777" w:rsidR="00B1528D" w:rsidRDefault="00B1528D" w:rsidP="00535910">
            <w:pPr>
              <w:jc w:val="center"/>
              <w:rPr>
                <w:rFonts w:cs="Arial"/>
                <w:sz w:val="17"/>
                <w:szCs w:val="17"/>
              </w:rPr>
            </w:pPr>
            <w:r>
              <w:rPr>
                <w:rFonts w:cs="Arial"/>
                <w:sz w:val="17"/>
                <w:szCs w:val="17"/>
              </w:rPr>
              <w:t>2</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11498655" w14:textId="77777777" w:rsidR="00B1528D" w:rsidRDefault="00B1528D" w:rsidP="00535910">
            <w:pPr>
              <w:jc w:val="center"/>
              <w:rPr>
                <w:rFonts w:cs="Arial"/>
                <w:sz w:val="17"/>
                <w:szCs w:val="17"/>
              </w:rPr>
            </w:pPr>
            <w:r>
              <w:rPr>
                <w:rFonts w:cs="Arial"/>
                <w:sz w:val="17"/>
                <w:szCs w:val="17"/>
              </w:rPr>
              <w:t>L</w:t>
            </w:r>
          </w:p>
        </w:tc>
        <w:tc>
          <w:tcPr>
            <w:tcW w:w="1486" w:type="pct"/>
            <w:tcBorders>
              <w:top w:val="single" w:sz="4" w:space="0" w:color="auto"/>
              <w:left w:val="single" w:sz="4" w:space="0" w:color="auto"/>
              <w:bottom w:val="single" w:sz="4" w:space="0" w:color="auto"/>
              <w:right w:val="single" w:sz="4" w:space="0" w:color="auto"/>
            </w:tcBorders>
          </w:tcPr>
          <w:p w14:paraId="4CB31AD5" w14:textId="77777777" w:rsidR="00B1528D" w:rsidRDefault="00B1528D" w:rsidP="00535910">
            <w:pPr>
              <w:rPr>
                <w:sz w:val="17"/>
                <w:szCs w:val="17"/>
              </w:rPr>
            </w:pPr>
            <w:r>
              <w:rPr>
                <w:sz w:val="17"/>
                <w:szCs w:val="17"/>
              </w:rPr>
              <w:t>Clearly defined in the Data Sharing agreement and T&amp;C’s who the 3</w:t>
            </w:r>
            <w:r w:rsidRPr="00434EA9">
              <w:rPr>
                <w:sz w:val="17"/>
                <w:szCs w:val="17"/>
                <w:vertAlign w:val="superscript"/>
              </w:rPr>
              <w:t>rd</w:t>
            </w:r>
            <w:r>
              <w:rPr>
                <w:sz w:val="17"/>
                <w:szCs w:val="17"/>
              </w:rPr>
              <w:t xml:space="preserve"> party platforms are we use for the platform and that the data will not be passed onto 3</w:t>
            </w:r>
            <w:r w:rsidRPr="00DC444F">
              <w:rPr>
                <w:sz w:val="17"/>
                <w:szCs w:val="17"/>
                <w:vertAlign w:val="superscript"/>
              </w:rPr>
              <w:t>rd</w:t>
            </w:r>
            <w:r>
              <w:rPr>
                <w:sz w:val="17"/>
                <w:szCs w:val="17"/>
              </w:rPr>
              <w:t xml:space="preserve"> parties </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0E1940D0" w14:textId="77777777" w:rsidR="00B1528D" w:rsidRDefault="00B1528D" w:rsidP="00535910">
            <w:pPr>
              <w:jc w:val="center"/>
              <w:rPr>
                <w:rFonts w:cs="Arial"/>
                <w:sz w:val="17"/>
                <w:szCs w:val="17"/>
              </w:rPr>
            </w:pPr>
            <w:r>
              <w:rPr>
                <w:rFonts w:cs="Arial"/>
                <w:sz w:val="17"/>
                <w:szCs w:val="17"/>
              </w:rPr>
              <w:t>L</w:t>
            </w:r>
          </w:p>
        </w:tc>
      </w:tr>
      <w:tr w:rsidR="00B1528D" w:rsidRPr="00325D85" w14:paraId="2CFE8974" w14:textId="77777777" w:rsidTr="1A7254B8">
        <w:tc>
          <w:tcPr>
            <w:tcW w:w="272" w:type="pct"/>
            <w:vMerge/>
          </w:tcPr>
          <w:p w14:paraId="736231D8"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191F29BA" w14:textId="77777777" w:rsidR="00B1528D" w:rsidRPr="0016672E" w:rsidRDefault="00B1528D" w:rsidP="00535910">
            <w:pPr>
              <w:pStyle w:val="BodyText"/>
              <w:spacing w:before="10"/>
              <w:rPr>
                <w:rFonts w:ascii="Arial" w:eastAsia="Times New Roman" w:hAnsi="Arial" w:cs="Times New Roman"/>
                <w:sz w:val="17"/>
                <w:szCs w:val="17"/>
                <w:lang w:eastAsia="en-US" w:bidi="ar-SA"/>
              </w:rPr>
            </w:pPr>
            <w:r w:rsidRPr="0016672E">
              <w:rPr>
                <w:rFonts w:ascii="Arial" w:eastAsia="Times New Roman" w:hAnsi="Arial" w:cs="Times New Roman"/>
                <w:sz w:val="17"/>
                <w:szCs w:val="17"/>
                <w:lang w:eastAsia="en-US" w:bidi="ar-SA"/>
              </w:rPr>
              <w:t>School level data passed to third party for the wrong school trough the platform</w:t>
            </w:r>
          </w:p>
          <w:p w14:paraId="5B907A98" w14:textId="77777777" w:rsidR="00B1528D" w:rsidRPr="0016672E" w:rsidRDefault="00B1528D" w:rsidP="00535910">
            <w:pPr>
              <w:pStyle w:val="BodyText"/>
              <w:spacing w:before="10"/>
              <w:rPr>
                <w:rFonts w:ascii="Arial" w:eastAsia="Times New Roman" w:hAnsi="Arial" w:cs="Times New Roman"/>
                <w:sz w:val="17"/>
                <w:szCs w:val="17"/>
                <w:lang w:eastAsia="en-US" w:bidi="ar-SA"/>
              </w:rPr>
            </w:pPr>
            <w:r w:rsidRPr="0016672E">
              <w:rPr>
                <w:rFonts w:ascii="Arial" w:eastAsia="Times New Roman" w:hAnsi="Arial" w:cs="Times New Roman"/>
                <w:sz w:val="17"/>
                <w:szCs w:val="17"/>
                <w:lang w:eastAsia="en-US" w:bidi="ar-SA"/>
              </w:rPr>
              <w:t>Risks would include non-compliance (failing to ensure appropriate security of the data) as well as corporate risks (loss of credibility, press coverage, enforcement action, personal compensation claims etc).</w:t>
            </w:r>
          </w:p>
          <w:p w14:paraId="50BBF1A2" w14:textId="77777777" w:rsidR="00B1528D" w:rsidRDefault="00B1528D" w:rsidP="00535910">
            <w:pPr>
              <w:rPr>
                <w:sz w:val="17"/>
                <w:szCs w:val="17"/>
              </w:rPr>
            </w:pPr>
          </w:p>
        </w:tc>
        <w:tc>
          <w:tcPr>
            <w:tcW w:w="511" w:type="pct"/>
            <w:tcBorders>
              <w:top w:val="single" w:sz="4" w:space="0" w:color="auto"/>
              <w:left w:val="single" w:sz="4" w:space="0" w:color="auto"/>
              <w:bottom w:val="single" w:sz="4" w:space="0" w:color="auto"/>
              <w:right w:val="single" w:sz="4" w:space="0" w:color="auto"/>
            </w:tcBorders>
          </w:tcPr>
          <w:p w14:paraId="5531BA94" w14:textId="77777777" w:rsidR="00B1528D" w:rsidRPr="0016672E" w:rsidRDefault="00B1528D" w:rsidP="00535910">
            <w:pPr>
              <w:pStyle w:val="BodyText"/>
              <w:spacing w:before="10"/>
              <w:rPr>
                <w:rFonts w:ascii="Arial" w:eastAsia="Times New Roman" w:hAnsi="Arial" w:cs="Times New Roman"/>
                <w:sz w:val="17"/>
                <w:szCs w:val="17"/>
                <w:lang w:eastAsia="en-US" w:bidi="ar-SA"/>
              </w:rPr>
            </w:pPr>
            <w:r w:rsidRPr="0016672E">
              <w:rPr>
                <w:rFonts w:ascii="Arial" w:eastAsia="Times New Roman" w:hAnsi="Arial" w:cs="Times New Roman"/>
                <w:sz w:val="17"/>
                <w:szCs w:val="17"/>
                <w:lang w:eastAsia="en-US" w:bidi="ar-SA"/>
              </w:rPr>
              <w:t>Impact on the individuals include their data being seen by staff from another school, loss of confidentiality, potential embarrassment depending on the nature of the exposed personal data.</w:t>
            </w:r>
          </w:p>
          <w:p w14:paraId="6FCF9ABA"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0A6FBF0B" w14:textId="77777777" w:rsidR="00B1528D" w:rsidRDefault="00B1528D" w:rsidP="00535910">
            <w:pPr>
              <w:jc w:val="center"/>
              <w:rPr>
                <w:rFonts w:cs="Arial"/>
                <w:sz w:val="17"/>
                <w:szCs w:val="17"/>
              </w:rPr>
            </w:pPr>
            <w:proofErr w:type="spellStart"/>
            <w:r>
              <w:rPr>
                <w:rFonts w:cs="Arial"/>
                <w:sz w:val="17"/>
                <w:szCs w:val="17"/>
              </w:rPr>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7C00CB01"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4578E68A"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4A311BAB" w14:textId="77777777" w:rsidR="00B1528D" w:rsidRDefault="00B1528D" w:rsidP="00535910">
            <w:pPr>
              <w:jc w:val="center"/>
              <w:rPr>
                <w:rFonts w:cs="Arial"/>
                <w:sz w:val="17"/>
                <w:szCs w:val="17"/>
              </w:rPr>
            </w:pPr>
            <w:r>
              <w:rPr>
                <w:rFonts w:cs="Arial"/>
                <w:sz w:val="17"/>
                <w:szCs w:val="17"/>
              </w:rPr>
              <w:t>3</w:t>
            </w:r>
          </w:p>
        </w:tc>
        <w:tc>
          <w:tcPr>
            <w:tcW w:w="258" w:type="pct"/>
            <w:tcBorders>
              <w:top w:val="single" w:sz="4" w:space="0" w:color="auto"/>
              <w:left w:val="single" w:sz="4" w:space="0" w:color="auto"/>
              <w:bottom w:val="single" w:sz="4" w:space="0" w:color="auto"/>
              <w:right w:val="single" w:sz="4" w:space="0" w:color="auto"/>
            </w:tcBorders>
            <w:shd w:val="clear" w:color="auto" w:fill="FFC000"/>
            <w:vAlign w:val="center"/>
          </w:tcPr>
          <w:p w14:paraId="58FF394D" w14:textId="77777777" w:rsidR="00B1528D" w:rsidRDefault="00B1528D" w:rsidP="00535910">
            <w:pPr>
              <w:jc w:val="center"/>
              <w:rPr>
                <w:rFonts w:cs="Arial"/>
                <w:sz w:val="17"/>
                <w:szCs w:val="17"/>
              </w:rPr>
            </w:pPr>
            <w:r>
              <w:rPr>
                <w:rFonts w:cs="Arial"/>
                <w:sz w:val="17"/>
                <w:szCs w:val="17"/>
              </w:rPr>
              <w:t>M</w:t>
            </w:r>
          </w:p>
        </w:tc>
        <w:tc>
          <w:tcPr>
            <w:tcW w:w="1486" w:type="pct"/>
            <w:tcBorders>
              <w:top w:val="single" w:sz="4" w:space="0" w:color="auto"/>
              <w:left w:val="single" w:sz="4" w:space="0" w:color="auto"/>
              <w:bottom w:val="single" w:sz="4" w:space="0" w:color="auto"/>
              <w:right w:val="single" w:sz="4" w:space="0" w:color="auto"/>
            </w:tcBorders>
          </w:tcPr>
          <w:p w14:paraId="52461211" w14:textId="77777777" w:rsidR="00B1528D" w:rsidRDefault="00B1528D" w:rsidP="00535910">
            <w:pPr>
              <w:rPr>
                <w:sz w:val="17"/>
                <w:szCs w:val="17"/>
              </w:rPr>
            </w:pPr>
            <w:r>
              <w:rPr>
                <w:sz w:val="17"/>
                <w:szCs w:val="17"/>
              </w:rPr>
              <w:t>Schools remain controllers and will manage the accuracy of the data they input to the system.</w:t>
            </w:r>
          </w:p>
          <w:p w14:paraId="653000DF" w14:textId="77777777" w:rsidR="00B1528D" w:rsidRDefault="00B1528D" w:rsidP="00535910">
            <w:pPr>
              <w:rPr>
                <w:sz w:val="17"/>
                <w:szCs w:val="17"/>
              </w:rPr>
            </w:pPr>
            <w:r>
              <w:rPr>
                <w:sz w:val="17"/>
                <w:szCs w:val="17"/>
              </w:rPr>
              <w:t>Use of UPN where available to match provides a 100% accuracy in the matching process as it is a unique number.</w:t>
            </w:r>
          </w:p>
          <w:p w14:paraId="7D9E5E06" w14:textId="4324CEC0" w:rsidR="00B1528D" w:rsidRDefault="00B1528D" w:rsidP="00535910">
            <w:pPr>
              <w:rPr>
                <w:sz w:val="17"/>
                <w:szCs w:val="17"/>
              </w:rPr>
            </w:pPr>
            <w:r w:rsidRPr="1A7254B8">
              <w:rPr>
                <w:sz w:val="17"/>
                <w:szCs w:val="17"/>
              </w:rPr>
              <w:t xml:space="preserve">Where a secondary does not provide a UPN for matching we will mitigate this by only limiting the data to the requesting primary school and that the secondary school will have a validation process if a student with the exact same first, middle, last names including birthday is found in the primary school data being requested. In this situation the Secondary will have to contact to primary to validate the records being presented before academic data </w:t>
            </w:r>
            <w:r w:rsidR="7B24706E" w:rsidRPr="1A7254B8">
              <w:rPr>
                <w:sz w:val="17"/>
                <w:szCs w:val="17"/>
              </w:rPr>
              <w:t>is</w:t>
            </w:r>
            <w:r w:rsidRPr="1A7254B8">
              <w:rPr>
                <w:sz w:val="17"/>
                <w:szCs w:val="17"/>
              </w:rPr>
              <w:t xml:space="preserve"> presented. </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3F8A056A" w14:textId="5745D78E" w:rsidR="00B1528D" w:rsidRDefault="73E8BB64" w:rsidP="00535910">
            <w:pPr>
              <w:jc w:val="center"/>
              <w:rPr>
                <w:rFonts w:cs="Arial"/>
                <w:sz w:val="17"/>
                <w:szCs w:val="17"/>
              </w:rPr>
            </w:pPr>
            <w:r w:rsidRPr="1A7254B8">
              <w:rPr>
                <w:rFonts w:cs="Arial"/>
                <w:sz w:val="17"/>
                <w:szCs w:val="17"/>
              </w:rPr>
              <w:t>L</w:t>
            </w:r>
          </w:p>
        </w:tc>
      </w:tr>
      <w:tr w:rsidR="00B1528D" w:rsidRPr="00325D85" w14:paraId="679FE9B9" w14:textId="77777777" w:rsidTr="1A7254B8">
        <w:tc>
          <w:tcPr>
            <w:tcW w:w="272" w:type="pct"/>
            <w:vMerge/>
          </w:tcPr>
          <w:p w14:paraId="3BEBE7BB"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6425BA70"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t>School staff email unprotected personal data to the platform</w:t>
            </w:r>
          </w:p>
          <w:p w14:paraId="166E3BCC"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t xml:space="preserve">This can occur when there is a need for support whereby school staff see issues with the data and email the personal data to </w:t>
            </w:r>
            <w:r>
              <w:rPr>
                <w:rFonts w:ascii="Arial" w:eastAsia="Times New Roman" w:hAnsi="Arial" w:cs="Times New Roman"/>
                <w:sz w:val="17"/>
                <w:szCs w:val="17"/>
                <w:lang w:eastAsia="en-US" w:bidi="ar-SA"/>
              </w:rPr>
              <w:t>support staff</w:t>
            </w:r>
            <w:r w:rsidRPr="009C61C2">
              <w:rPr>
                <w:rFonts w:ascii="Arial" w:eastAsia="Times New Roman" w:hAnsi="Arial" w:cs="Times New Roman"/>
                <w:sz w:val="17"/>
                <w:szCs w:val="17"/>
                <w:lang w:eastAsia="en-US" w:bidi="ar-SA"/>
              </w:rPr>
              <w:t xml:space="preserve"> for investigation.</w:t>
            </w:r>
          </w:p>
          <w:p w14:paraId="1DF8C42C"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t xml:space="preserve">Risks include non-compliance (failing to ensure appropriate security of the data) along with corporate risks (loss of credibility, press </w:t>
            </w:r>
            <w:r w:rsidRPr="009C61C2">
              <w:rPr>
                <w:rFonts w:ascii="Arial" w:eastAsia="Times New Roman" w:hAnsi="Arial" w:cs="Times New Roman"/>
                <w:sz w:val="17"/>
                <w:szCs w:val="17"/>
                <w:lang w:eastAsia="en-US" w:bidi="ar-SA"/>
              </w:rPr>
              <w:lastRenderedPageBreak/>
              <w:t>coverage, enforcement action, personal compensation claims etc).</w:t>
            </w:r>
          </w:p>
          <w:p w14:paraId="6B8A9543" w14:textId="77777777" w:rsidR="00B1528D" w:rsidRDefault="00B1528D" w:rsidP="00535910">
            <w:pPr>
              <w:rPr>
                <w:sz w:val="17"/>
                <w:szCs w:val="17"/>
              </w:rPr>
            </w:pPr>
          </w:p>
        </w:tc>
        <w:tc>
          <w:tcPr>
            <w:tcW w:w="511" w:type="pct"/>
            <w:tcBorders>
              <w:top w:val="single" w:sz="4" w:space="0" w:color="auto"/>
              <w:left w:val="single" w:sz="4" w:space="0" w:color="auto"/>
              <w:bottom w:val="single" w:sz="4" w:space="0" w:color="auto"/>
              <w:right w:val="single" w:sz="4" w:space="0" w:color="auto"/>
            </w:tcBorders>
          </w:tcPr>
          <w:p w14:paraId="3E8D1DE8"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lastRenderedPageBreak/>
              <w:t xml:space="preserve">Impact on individuals include their data being seen by integrator staff, the dangers inherent in emails being sent to incorrect recipients, loss of confidentiality, possible embarrassment or harm depending on </w:t>
            </w:r>
            <w:r w:rsidRPr="009C61C2">
              <w:rPr>
                <w:rFonts w:ascii="Arial" w:eastAsia="Times New Roman" w:hAnsi="Arial" w:cs="Times New Roman"/>
                <w:sz w:val="17"/>
                <w:szCs w:val="17"/>
                <w:lang w:eastAsia="en-US" w:bidi="ar-SA"/>
              </w:rPr>
              <w:lastRenderedPageBreak/>
              <w:t>the nature of the exposed data and its final recipient.</w:t>
            </w:r>
          </w:p>
          <w:p w14:paraId="46C11CC8"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7979F3C7" w14:textId="77777777" w:rsidR="00B1528D" w:rsidRDefault="00B1528D" w:rsidP="00535910">
            <w:pPr>
              <w:jc w:val="center"/>
              <w:rPr>
                <w:rFonts w:cs="Arial"/>
                <w:sz w:val="17"/>
                <w:szCs w:val="17"/>
              </w:rPr>
            </w:pPr>
            <w:proofErr w:type="spellStart"/>
            <w:r>
              <w:rPr>
                <w:rFonts w:cs="Arial"/>
                <w:sz w:val="17"/>
                <w:szCs w:val="17"/>
              </w:rPr>
              <w:lastRenderedPageBreak/>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568A124D"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09ECFB4D"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63717EF4" w14:textId="77777777" w:rsidR="00B1528D" w:rsidRDefault="00B1528D" w:rsidP="00535910">
            <w:pPr>
              <w:jc w:val="center"/>
              <w:rPr>
                <w:rFonts w:cs="Arial"/>
                <w:sz w:val="17"/>
                <w:szCs w:val="17"/>
              </w:rPr>
            </w:pPr>
            <w:r>
              <w:rPr>
                <w:rFonts w:cs="Arial"/>
                <w:sz w:val="17"/>
                <w:szCs w:val="17"/>
              </w:rPr>
              <w:t>3</w:t>
            </w:r>
          </w:p>
        </w:tc>
        <w:tc>
          <w:tcPr>
            <w:tcW w:w="258" w:type="pct"/>
            <w:tcBorders>
              <w:top w:val="single" w:sz="4" w:space="0" w:color="auto"/>
              <w:left w:val="single" w:sz="4" w:space="0" w:color="auto"/>
              <w:bottom w:val="single" w:sz="4" w:space="0" w:color="auto"/>
              <w:right w:val="single" w:sz="4" w:space="0" w:color="auto"/>
            </w:tcBorders>
            <w:shd w:val="clear" w:color="auto" w:fill="FFC000"/>
            <w:vAlign w:val="center"/>
          </w:tcPr>
          <w:p w14:paraId="14204982" w14:textId="77777777" w:rsidR="00B1528D" w:rsidRDefault="00B1528D" w:rsidP="00535910">
            <w:pPr>
              <w:jc w:val="center"/>
              <w:rPr>
                <w:rFonts w:cs="Arial"/>
                <w:sz w:val="17"/>
                <w:szCs w:val="17"/>
              </w:rPr>
            </w:pPr>
            <w:r>
              <w:rPr>
                <w:rFonts w:cs="Arial"/>
                <w:sz w:val="17"/>
                <w:szCs w:val="17"/>
              </w:rPr>
              <w:t>M</w:t>
            </w:r>
          </w:p>
        </w:tc>
        <w:tc>
          <w:tcPr>
            <w:tcW w:w="1486" w:type="pct"/>
            <w:tcBorders>
              <w:top w:val="single" w:sz="4" w:space="0" w:color="auto"/>
              <w:left w:val="single" w:sz="4" w:space="0" w:color="auto"/>
              <w:bottom w:val="single" w:sz="4" w:space="0" w:color="auto"/>
              <w:right w:val="single" w:sz="4" w:space="0" w:color="auto"/>
            </w:tcBorders>
          </w:tcPr>
          <w:p w14:paraId="35B0C529" w14:textId="77777777" w:rsidR="00B1528D" w:rsidRDefault="00B1528D" w:rsidP="00535910">
            <w:pPr>
              <w:rPr>
                <w:sz w:val="17"/>
                <w:szCs w:val="17"/>
              </w:rPr>
            </w:pPr>
            <w:r>
              <w:rPr>
                <w:sz w:val="17"/>
                <w:szCs w:val="17"/>
              </w:rPr>
              <w:t xml:space="preserve">Our support protocol will be to support the school without needing to receive the data. All support will make sure no data is requested. The format of the data is the most import part to the upload stage. </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598893EE" w14:textId="77777777" w:rsidR="00B1528D" w:rsidRDefault="00B1528D" w:rsidP="00535910">
            <w:pPr>
              <w:jc w:val="center"/>
              <w:rPr>
                <w:rFonts w:cs="Arial"/>
                <w:sz w:val="17"/>
                <w:szCs w:val="17"/>
              </w:rPr>
            </w:pPr>
            <w:r>
              <w:rPr>
                <w:rFonts w:cs="Arial"/>
                <w:sz w:val="17"/>
                <w:szCs w:val="17"/>
              </w:rPr>
              <w:t>L</w:t>
            </w:r>
          </w:p>
        </w:tc>
      </w:tr>
      <w:tr w:rsidR="0064363D" w:rsidRPr="00325D85" w14:paraId="73E424B1" w14:textId="77777777" w:rsidTr="1A7254B8">
        <w:tc>
          <w:tcPr>
            <w:tcW w:w="272" w:type="pct"/>
            <w:vMerge/>
          </w:tcPr>
          <w:p w14:paraId="7CD65D5B" w14:textId="77777777" w:rsidR="0064363D" w:rsidRPr="00325D85" w:rsidRDefault="0064363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405BF1F4" w14:textId="77777777" w:rsidR="0064363D" w:rsidRPr="00156D19" w:rsidRDefault="0064363D" w:rsidP="00535910">
            <w:pPr>
              <w:pStyle w:val="BodyText"/>
              <w:spacing w:before="10"/>
              <w:rPr>
                <w:rFonts w:ascii="Arial" w:eastAsia="Times New Roman" w:hAnsi="Arial" w:cs="Times New Roman"/>
                <w:sz w:val="17"/>
                <w:szCs w:val="17"/>
                <w:lang w:eastAsia="en-US" w:bidi="ar-SA"/>
              </w:rPr>
            </w:pPr>
            <w:r w:rsidRPr="00156D19">
              <w:rPr>
                <w:rFonts w:ascii="Arial" w:eastAsia="Times New Roman" w:hAnsi="Arial" w:cs="Times New Roman"/>
                <w:sz w:val="17"/>
                <w:szCs w:val="17"/>
                <w:lang w:eastAsia="en-US" w:bidi="ar-SA"/>
              </w:rPr>
              <w:t>Matching failure caused by password changes resulting in out of date personal data within third-party solutions</w:t>
            </w:r>
          </w:p>
          <w:p w14:paraId="225DF5FC" w14:textId="77777777" w:rsidR="0064363D" w:rsidRPr="00156D19" w:rsidRDefault="0064363D" w:rsidP="00535910">
            <w:pPr>
              <w:pStyle w:val="BodyText"/>
              <w:spacing w:before="10"/>
              <w:rPr>
                <w:rFonts w:ascii="Arial" w:eastAsia="Times New Roman" w:hAnsi="Arial" w:cs="Times New Roman"/>
                <w:sz w:val="17"/>
                <w:szCs w:val="17"/>
                <w:lang w:eastAsia="en-US" w:bidi="ar-SA"/>
              </w:rPr>
            </w:pPr>
            <w:r w:rsidRPr="00156D19">
              <w:rPr>
                <w:rFonts w:ascii="Arial" w:eastAsia="Times New Roman" w:hAnsi="Arial" w:cs="Times New Roman"/>
                <w:sz w:val="17"/>
                <w:szCs w:val="17"/>
                <w:lang w:eastAsia="en-US" w:bidi="ar-SA"/>
              </w:rPr>
              <w:t xml:space="preserve">  password updates may be actioned by the school/platform </w:t>
            </w:r>
          </w:p>
          <w:p w14:paraId="4E7DB8D0" w14:textId="77777777" w:rsidR="0064363D" w:rsidRDefault="0064363D" w:rsidP="00535910">
            <w:pPr>
              <w:pStyle w:val="BodyText"/>
              <w:spacing w:before="10"/>
              <w:rPr>
                <w:sz w:val="17"/>
                <w:szCs w:val="17"/>
              </w:rPr>
            </w:pPr>
          </w:p>
        </w:tc>
        <w:tc>
          <w:tcPr>
            <w:tcW w:w="511" w:type="pct"/>
            <w:tcBorders>
              <w:top w:val="single" w:sz="4" w:space="0" w:color="auto"/>
              <w:left w:val="single" w:sz="4" w:space="0" w:color="auto"/>
              <w:bottom w:val="single" w:sz="4" w:space="0" w:color="auto"/>
              <w:right w:val="single" w:sz="4" w:space="0" w:color="auto"/>
            </w:tcBorders>
          </w:tcPr>
          <w:p w14:paraId="09B27DF2" w14:textId="77777777" w:rsidR="0064363D" w:rsidRPr="00156D19" w:rsidRDefault="0064363D" w:rsidP="00535910">
            <w:pPr>
              <w:pStyle w:val="BodyText"/>
              <w:spacing w:before="10"/>
              <w:rPr>
                <w:rFonts w:ascii="Arial" w:eastAsia="Times New Roman" w:hAnsi="Arial" w:cs="Times New Roman"/>
                <w:sz w:val="17"/>
                <w:szCs w:val="17"/>
                <w:lang w:eastAsia="en-US" w:bidi="ar-SA"/>
              </w:rPr>
            </w:pPr>
            <w:r w:rsidRPr="00156D19">
              <w:rPr>
                <w:rFonts w:ascii="Arial" w:eastAsia="Times New Roman" w:hAnsi="Arial" w:cs="Times New Roman"/>
                <w:sz w:val="17"/>
                <w:szCs w:val="17"/>
                <w:lang w:eastAsia="en-US" w:bidi="ar-SA"/>
              </w:rPr>
              <w:t>Risks to the individual potential embarrassment and possibly harm depending on the nature of the out of date personal data being used by the third-party solutions.</w:t>
            </w:r>
          </w:p>
          <w:p w14:paraId="1F9665A3" w14:textId="77777777" w:rsidR="0064363D" w:rsidRPr="00156D19" w:rsidRDefault="0064363D" w:rsidP="00535910">
            <w:pPr>
              <w:pStyle w:val="BodyText"/>
              <w:spacing w:before="10"/>
              <w:rPr>
                <w:rFonts w:ascii="Arial" w:eastAsia="Times New Roman" w:hAnsi="Arial" w:cs="Times New Roman"/>
                <w:sz w:val="17"/>
                <w:szCs w:val="17"/>
                <w:lang w:eastAsia="en-US" w:bidi="ar-SA"/>
              </w:rPr>
            </w:pPr>
            <w:r w:rsidRPr="00156D19">
              <w:rPr>
                <w:rFonts w:ascii="Arial" w:eastAsia="Times New Roman" w:hAnsi="Arial" w:cs="Times New Roman"/>
                <w:sz w:val="17"/>
                <w:szCs w:val="17"/>
                <w:lang w:eastAsia="en-US" w:bidi="ar-SA"/>
              </w:rPr>
              <w:t>Risks include non-compliance (failing to ensure data is accurate and up to date, failure to ensure appropriate security of the data) plus corporate risk (loss of credibility, press coverage, enforcement action, personal compensation claims etc).</w:t>
            </w:r>
          </w:p>
          <w:p w14:paraId="06E20E57" w14:textId="77777777" w:rsidR="0064363D" w:rsidRDefault="0064363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294CDE19" w14:textId="2DED03BD" w:rsidR="0064363D" w:rsidRDefault="0064363D" w:rsidP="00535910">
            <w:pPr>
              <w:jc w:val="center"/>
              <w:rPr>
                <w:rFonts w:cs="Arial"/>
                <w:sz w:val="17"/>
                <w:szCs w:val="17"/>
              </w:rPr>
            </w:pPr>
            <w:proofErr w:type="spellStart"/>
            <w:r>
              <w:rPr>
                <w:rFonts w:cs="Arial"/>
                <w:sz w:val="17"/>
                <w:szCs w:val="17"/>
              </w:rPr>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04F12B4B" w14:textId="595C202B" w:rsidR="0064363D" w:rsidRDefault="0064363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3316974A" w14:textId="5B771CB1" w:rsidR="0064363D" w:rsidRDefault="0064363D" w:rsidP="00535910">
            <w:pPr>
              <w:jc w:val="center"/>
              <w:rPr>
                <w:rFonts w:cs="Arial"/>
                <w:sz w:val="17"/>
                <w:szCs w:val="17"/>
              </w:rPr>
            </w:pPr>
            <w:r>
              <w:rPr>
                <w:rFonts w:cs="Arial"/>
                <w:sz w:val="17"/>
                <w:szCs w:val="17"/>
              </w:rPr>
              <w:t>2</w:t>
            </w:r>
          </w:p>
        </w:tc>
        <w:tc>
          <w:tcPr>
            <w:tcW w:w="360" w:type="pct"/>
            <w:tcBorders>
              <w:top w:val="single" w:sz="4" w:space="0" w:color="auto"/>
              <w:left w:val="single" w:sz="4" w:space="0" w:color="auto"/>
              <w:bottom w:val="single" w:sz="4" w:space="0" w:color="auto"/>
              <w:right w:val="single" w:sz="4" w:space="0" w:color="auto"/>
            </w:tcBorders>
            <w:vAlign w:val="center"/>
          </w:tcPr>
          <w:p w14:paraId="04B6D0D2" w14:textId="7868E95D" w:rsidR="0064363D" w:rsidRDefault="0064363D" w:rsidP="00535910">
            <w:pPr>
              <w:jc w:val="center"/>
              <w:rPr>
                <w:rFonts w:cs="Arial"/>
                <w:sz w:val="17"/>
                <w:szCs w:val="17"/>
              </w:rPr>
            </w:pPr>
            <w:r>
              <w:rPr>
                <w:rFonts w:cs="Arial"/>
                <w:sz w:val="17"/>
                <w:szCs w:val="17"/>
              </w:rPr>
              <w:t>1</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7475C115" w14:textId="46A05943" w:rsidR="0064363D" w:rsidRDefault="0064363D" w:rsidP="00535910">
            <w:pPr>
              <w:jc w:val="center"/>
              <w:rPr>
                <w:rFonts w:cs="Arial"/>
                <w:sz w:val="17"/>
                <w:szCs w:val="17"/>
              </w:rPr>
            </w:pPr>
            <w:r>
              <w:rPr>
                <w:rFonts w:cs="Arial"/>
                <w:sz w:val="17"/>
                <w:szCs w:val="17"/>
              </w:rPr>
              <w:t>L</w:t>
            </w:r>
          </w:p>
        </w:tc>
        <w:tc>
          <w:tcPr>
            <w:tcW w:w="1486" w:type="pct"/>
            <w:tcBorders>
              <w:top w:val="single" w:sz="4" w:space="0" w:color="auto"/>
              <w:left w:val="single" w:sz="4" w:space="0" w:color="auto"/>
              <w:bottom w:val="single" w:sz="4" w:space="0" w:color="auto"/>
              <w:right w:val="single" w:sz="4" w:space="0" w:color="auto"/>
            </w:tcBorders>
          </w:tcPr>
          <w:p w14:paraId="17610E28" w14:textId="77777777" w:rsidR="0064363D" w:rsidRDefault="0064363D" w:rsidP="00535910">
            <w:pPr>
              <w:rPr>
                <w:sz w:val="17"/>
                <w:szCs w:val="17"/>
              </w:rPr>
            </w:pPr>
            <w:r>
              <w:rPr>
                <w:sz w:val="17"/>
                <w:szCs w:val="17"/>
              </w:rPr>
              <w:t>System is password protected and only users from the registered school can be invited to the system.</w:t>
            </w:r>
          </w:p>
          <w:p w14:paraId="0168E349" w14:textId="77777777" w:rsidR="0064363D" w:rsidRDefault="0064363D" w:rsidP="00535910">
            <w:pPr>
              <w:rPr>
                <w:sz w:val="17"/>
                <w:szCs w:val="17"/>
              </w:rPr>
            </w:pPr>
          </w:p>
          <w:p w14:paraId="647D36B1" w14:textId="108D4A1E" w:rsidR="0064363D" w:rsidRDefault="0064363D" w:rsidP="00535910">
            <w:pPr>
              <w:rPr>
                <w:sz w:val="17"/>
                <w:szCs w:val="17"/>
              </w:rPr>
            </w:pP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32A80C14" w14:textId="5C5FA0A5" w:rsidR="0064363D" w:rsidRDefault="0064363D" w:rsidP="00535910">
            <w:pPr>
              <w:jc w:val="center"/>
              <w:rPr>
                <w:rFonts w:cs="Arial"/>
                <w:sz w:val="17"/>
                <w:szCs w:val="17"/>
              </w:rPr>
            </w:pPr>
            <w:r>
              <w:rPr>
                <w:rFonts w:cs="Arial"/>
                <w:sz w:val="17"/>
                <w:szCs w:val="17"/>
              </w:rPr>
              <w:t>L</w:t>
            </w:r>
          </w:p>
        </w:tc>
      </w:tr>
      <w:tr w:rsidR="008B6E87" w:rsidRPr="00325D85" w14:paraId="0FDC941D" w14:textId="77777777" w:rsidTr="1A7254B8">
        <w:tc>
          <w:tcPr>
            <w:tcW w:w="272" w:type="pct"/>
            <w:vMerge/>
          </w:tcPr>
          <w:p w14:paraId="12609ACE" w14:textId="77777777" w:rsidR="008B6E87" w:rsidRPr="00325D85" w:rsidRDefault="008B6E87"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0A8FB2D3" w14:textId="77777777" w:rsidR="008B6E87" w:rsidRDefault="008B6E87" w:rsidP="00535910">
            <w:pPr>
              <w:pStyle w:val="BodyText"/>
              <w:spacing w:before="10"/>
              <w:rPr>
                <w:sz w:val="17"/>
                <w:szCs w:val="17"/>
              </w:rPr>
            </w:pPr>
          </w:p>
        </w:tc>
        <w:tc>
          <w:tcPr>
            <w:tcW w:w="511" w:type="pct"/>
            <w:tcBorders>
              <w:top w:val="single" w:sz="4" w:space="0" w:color="auto"/>
              <w:left w:val="single" w:sz="4" w:space="0" w:color="auto"/>
              <w:bottom w:val="single" w:sz="4" w:space="0" w:color="auto"/>
              <w:right w:val="single" w:sz="4" w:space="0" w:color="auto"/>
            </w:tcBorders>
          </w:tcPr>
          <w:p w14:paraId="3A89325E" w14:textId="77777777" w:rsidR="008B6E87" w:rsidRDefault="008B6E87"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3C5E1CD6" w14:textId="1C37374A" w:rsidR="008B6E87" w:rsidRDefault="008B6E87" w:rsidP="00535910">
            <w:pPr>
              <w:jc w:val="center"/>
              <w:rPr>
                <w:rFonts w:cs="Arial"/>
                <w:sz w:val="17"/>
                <w:szCs w:val="17"/>
              </w:rPr>
            </w:pPr>
          </w:p>
        </w:tc>
        <w:tc>
          <w:tcPr>
            <w:tcW w:w="410" w:type="pct"/>
            <w:tcBorders>
              <w:top w:val="single" w:sz="4" w:space="0" w:color="auto"/>
              <w:left w:val="single" w:sz="4" w:space="0" w:color="auto"/>
              <w:bottom w:val="single" w:sz="4" w:space="0" w:color="auto"/>
              <w:right w:val="single" w:sz="4" w:space="0" w:color="auto"/>
            </w:tcBorders>
            <w:vAlign w:val="center"/>
          </w:tcPr>
          <w:p w14:paraId="01850BAC" w14:textId="773A8CC4" w:rsidR="008B6E87" w:rsidRDefault="008B6E87" w:rsidP="00535910">
            <w:pPr>
              <w:jc w:val="center"/>
              <w:rPr>
                <w:rFonts w:cs="Arial"/>
                <w:sz w:val="17"/>
                <w:szCs w:val="17"/>
              </w:rPr>
            </w:pPr>
          </w:p>
        </w:tc>
        <w:tc>
          <w:tcPr>
            <w:tcW w:w="377" w:type="pct"/>
            <w:tcBorders>
              <w:top w:val="single" w:sz="4" w:space="0" w:color="auto"/>
              <w:left w:val="single" w:sz="4" w:space="0" w:color="auto"/>
              <w:bottom w:val="single" w:sz="4" w:space="0" w:color="auto"/>
              <w:right w:val="single" w:sz="4" w:space="0" w:color="auto"/>
            </w:tcBorders>
            <w:vAlign w:val="center"/>
          </w:tcPr>
          <w:p w14:paraId="681D755D" w14:textId="033A8630" w:rsidR="008B6E87" w:rsidRDefault="008B6E87" w:rsidP="00535910">
            <w:pPr>
              <w:jc w:val="center"/>
              <w:rPr>
                <w:rFonts w:cs="Arial"/>
                <w:sz w:val="17"/>
                <w:szCs w:val="17"/>
              </w:rPr>
            </w:pPr>
          </w:p>
        </w:tc>
        <w:tc>
          <w:tcPr>
            <w:tcW w:w="360" w:type="pct"/>
            <w:tcBorders>
              <w:top w:val="single" w:sz="4" w:space="0" w:color="auto"/>
              <w:left w:val="single" w:sz="4" w:space="0" w:color="auto"/>
              <w:bottom w:val="single" w:sz="4" w:space="0" w:color="auto"/>
              <w:right w:val="single" w:sz="4" w:space="0" w:color="auto"/>
            </w:tcBorders>
            <w:vAlign w:val="center"/>
          </w:tcPr>
          <w:p w14:paraId="4D2C4D3F" w14:textId="5842516C" w:rsidR="008B6E87" w:rsidRDefault="008B6E87" w:rsidP="00535910">
            <w:pPr>
              <w:jc w:val="center"/>
              <w:rPr>
                <w:rFonts w:cs="Arial"/>
                <w:sz w:val="17"/>
                <w:szCs w:val="17"/>
              </w:rPr>
            </w:pP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379C54BC" w14:textId="2671010F" w:rsidR="008B6E87" w:rsidRDefault="008B6E87" w:rsidP="00535910">
            <w:pPr>
              <w:jc w:val="center"/>
              <w:rPr>
                <w:rFonts w:cs="Arial"/>
                <w:sz w:val="17"/>
                <w:szCs w:val="17"/>
              </w:rPr>
            </w:pPr>
          </w:p>
        </w:tc>
        <w:tc>
          <w:tcPr>
            <w:tcW w:w="1486" w:type="pct"/>
            <w:tcBorders>
              <w:top w:val="single" w:sz="4" w:space="0" w:color="auto"/>
              <w:left w:val="single" w:sz="4" w:space="0" w:color="auto"/>
              <w:bottom w:val="single" w:sz="4" w:space="0" w:color="auto"/>
              <w:right w:val="single" w:sz="4" w:space="0" w:color="auto"/>
            </w:tcBorders>
          </w:tcPr>
          <w:p w14:paraId="781CFC42" w14:textId="77777777" w:rsidR="008B6E87" w:rsidRDefault="008B6E87" w:rsidP="00535910">
            <w:pPr>
              <w:rPr>
                <w:sz w:val="17"/>
                <w:szCs w:val="17"/>
              </w:rPr>
            </w:pP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0B066851" w14:textId="612D6B0F" w:rsidR="008B6E87" w:rsidRDefault="008B6E87" w:rsidP="00535910">
            <w:pPr>
              <w:jc w:val="center"/>
              <w:rPr>
                <w:rFonts w:cs="Arial"/>
                <w:sz w:val="17"/>
                <w:szCs w:val="17"/>
              </w:rPr>
            </w:pPr>
          </w:p>
        </w:tc>
      </w:tr>
    </w:tbl>
    <w:p w14:paraId="6F81B494" w14:textId="43F32CDA" w:rsidR="00D7227C" w:rsidRDefault="00D7227C" w:rsidP="00D7227C">
      <w:pPr>
        <w:spacing w:line="240" w:lineRule="auto"/>
        <w:rPr>
          <w:sz w:val="24"/>
          <w:szCs w:val="24"/>
          <w:lang w:val="en-US"/>
        </w:rPr>
      </w:pPr>
    </w:p>
    <w:p w14:paraId="66A9D65A" w14:textId="089C30CE" w:rsidR="00B1528D" w:rsidRDefault="00B1528D" w:rsidP="00D7227C">
      <w:pPr>
        <w:spacing w:line="240" w:lineRule="auto"/>
        <w:rPr>
          <w:sz w:val="24"/>
          <w:szCs w:val="24"/>
          <w:lang w:val="en-US"/>
        </w:rPr>
      </w:pPr>
    </w:p>
    <w:p w14:paraId="4E6C120C" w14:textId="77777777" w:rsidR="00B1528D" w:rsidRDefault="00B1528D">
      <w:pPr>
        <w:spacing w:after="200"/>
        <w:rPr>
          <w:sz w:val="24"/>
          <w:szCs w:val="24"/>
          <w:lang w:val="en-US"/>
        </w:rPr>
      </w:pPr>
      <w:r>
        <w:rPr>
          <w:sz w:val="24"/>
          <w:szCs w:val="24"/>
          <w:lang w:val="en-US"/>
        </w:rPr>
        <w:br w:type="page"/>
      </w:r>
    </w:p>
    <w:p w14:paraId="624C4174" w14:textId="77777777" w:rsidR="00B1528D" w:rsidRDefault="00B1528D" w:rsidP="00D7227C">
      <w:pPr>
        <w:spacing w:line="240" w:lineRule="auto"/>
        <w:rPr>
          <w:sz w:val="24"/>
          <w:szCs w:val="24"/>
          <w:lang w:val="en-US"/>
        </w:rPr>
        <w:sectPr w:rsidR="00B1528D" w:rsidSect="00B1528D">
          <w:pgSz w:w="16838" w:h="11906" w:orient="landscape"/>
          <w:pgMar w:top="992" w:right="1440" w:bottom="1134" w:left="1440" w:header="709" w:footer="709" w:gutter="0"/>
          <w:cols w:space="708"/>
          <w:docGrid w:linePitch="360"/>
        </w:sectPr>
      </w:pPr>
    </w:p>
    <w:p w14:paraId="58D140AD" w14:textId="66A4FB5E" w:rsidR="00B1528D" w:rsidRPr="000959FF" w:rsidRDefault="00B1528D"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869"/>
        <w:gridCol w:w="3373"/>
        <w:gridCol w:w="3528"/>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E958D8">
      <w:pPr>
        <w:spacing w:line="240" w:lineRule="auto"/>
        <w:rPr>
          <w:sz w:val="24"/>
          <w:szCs w:val="24"/>
          <w:lang w:val="en-US"/>
        </w:rPr>
      </w:pPr>
    </w:p>
    <w:sectPr w:rsidR="006B061A" w:rsidRPr="00CF39D4" w:rsidSect="00B1528D">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767A" w14:textId="77777777" w:rsidR="00E958D8" w:rsidRDefault="00E958D8" w:rsidP="0048248F">
      <w:pPr>
        <w:spacing w:line="240" w:lineRule="auto"/>
      </w:pPr>
      <w:r>
        <w:separator/>
      </w:r>
    </w:p>
  </w:endnote>
  <w:endnote w:type="continuationSeparator" w:id="0">
    <w:p w14:paraId="30D52A4C" w14:textId="77777777" w:rsidR="00E958D8" w:rsidRDefault="00E958D8" w:rsidP="0048248F">
      <w:pPr>
        <w:spacing w:line="240" w:lineRule="auto"/>
      </w:pPr>
      <w:r>
        <w:continuationSeparator/>
      </w:r>
    </w:p>
  </w:endnote>
  <w:endnote w:type="continuationNotice" w:id="1">
    <w:p w14:paraId="5059C170" w14:textId="77777777" w:rsidR="00802112" w:rsidRDefault="008021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262339"/>
      <w:docPartObj>
        <w:docPartGallery w:val="Page Numbers (Bottom of Page)"/>
        <w:docPartUnique/>
      </w:docPartObj>
    </w:sdtPr>
    <w:sdtEndPr>
      <w:rPr>
        <w:noProof/>
      </w:rPr>
    </w:sdtEndPr>
    <w:sdtContent>
      <w:p w14:paraId="08F9E676" w14:textId="1B3202F9" w:rsidR="00E958D8" w:rsidRDefault="00E958D8">
        <w:pPr>
          <w:pStyle w:val="Footer"/>
          <w:jc w:val="right"/>
        </w:pPr>
        <w:r>
          <w:fldChar w:fldCharType="begin"/>
        </w:r>
        <w:r>
          <w:instrText xml:space="preserve"> PAGE   \* MERGEFORMAT </w:instrText>
        </w:r>
        <w:r>
          <w:fldChar w:fldCharType="separate"/>
        </w:r>
        <w:r w:rsidR="008F6CB0">
          <w:rPr>
            <w:noProof/>
          </w:rPr>
          <w:t>12</w:t>
        </w:r>
        <w:r>
          <w:rPr>
            <w:noProof/>
          </w:rPr>
          <w:fldChar w:fldCharType="end"/>
        </w:r>
      </w:p>
    </w:sdtContent>
  </w:sdt>
  <w:p w14:paraId="1D00F69D" w14:textId="3ACC1C58" w:rsidR="00E958D8" w:rsidRDefault="00E958D8" w:rsidP="00C307DC">
    <w:pPr>
      <w:pStyle w:val="Footer"/>
      <w:tabs>
        <w:tab w:val="clear" w:pos="9026"/>
        <w:tab w:val="right" w:pos="9603"/>
        <w:tab w:val="right" w:pos="13608"/>
        <w:tab w:val="left" w:pos="13750"/>
      </w:tabs>
      <w:rPr>
        <w:sz w:val="20"/>
      </w:rPr>
    </w:pPr>
    <w:r>
      <w:rPr>
        <w:sz w:val="20"/>
      </w:rPr>
      <w:t>Data Protection Impact Assessment</w:t>
    </w:r>
  </w:p>
  <w:p w14:paraId="10249743" w14:textId="6CC2523B" w:rsidR="00E958D8" w:rsidRPr="0048248F" w:rsidRDefault="00E958D8" w:rsidP="00C307DC">
    <w:pPr>
      <w:pStyle w:val="Footer"/>
      <w:tabs>
        <w:tab w:val="clear" w:pos="9026"/>
        <w:tab w:val="right" w:pos="9603"/>
        <w:tab w:val="right" w:pos="13608"/>
        <w:tab w:val="left" w:pos="13750"/>
      </w:tabs>
      <w:rPr>
        <w:sz w:val="20"/>
      </w:rPr>
    </w:pPr>
    <w:r>
      <w:rPr>
        <w:sz w:val="20"/>
      </w:rPr>
      <w:t>3</w:t>
    </w:r>
    <w:r w:rsidRPr="004112EB">
      <w:rPr>
        <w:sz w:val="20"/>
        <w:vertAlign w:val="superscript"/>
      </w:rPr>
      <w:t>rd</w:t>
    </w:r>
    <w:r>
      <w:rPr>
        <w:sz w:val="20"/>
      </w:rP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BAF80" w14:textId="77777777" w:rsidR="00E958D8" w:rsidRDefault="00E958D8" w:rsidP="0048248F">
      <w:pPr>
        <w:spacing w:line="240" w:lineRule="auto"/>
      </w:pPr>
      <w:r>
        <w:separator/>
      </w:r>
    </w:p>
  </w:footnote>
  <w:footnote w:type="continuationSeparator" w:id="0">
    <w:p w14:paraId="2FC2FFA2" w14:textId="77777777" w:rsidR="00E958D8" w:rsidRDefault="00E958D8" w:rsidP="0048248F">
      <w:pPr>
        <w:spacing w:line="240" w:lineRule="auto"/>
      </w:pPr>
      <w:r>
        <w:continuationSeparator/>
      </w:r>
    </w:p>
  </w:footnote>
  <w:footnote w:type="continuationNotice" w:id="1">
    <w:p w14:paraId="455FDB25" w14:textId="77777777" w:rsidR="00802112" w:rsidRDefault="0080211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5"/>
    <w:rsid w:val="00065783"/>
    <w:rsid w:val="000959FF"/>
    <w:rsid w:val="000C31E8"/>
    <w:rsid w:val="0018139E"/>
    <w:rsid w:val="001B3DEE"/>
    <w:rsid w:val="001B6597"/>
    <w:rsid w:val="002046B7"/>
    <w:rsid w:val="00204F3B"/>
    <w:rsid w:val="00215BA4"/>
    <w:rsid w:val="0023368D"/>
    <w:rsid w:val="00245600"/>
    <w:rsid w:val="00251E80"/>
    <w:rsid w:val="002812A3"/>
    <w:rsid w:val="002F70D1"/>
    <w:rsid w:val="00352679"/>
    <w:rsid w:val="0039281F"/>
    <w:rsid w:val="003A0192"/>
    <w:rsid w:val="004112EB"/>
    <w:rsid w:val="00441F5B"/>
    <w:rsid w:val="00456F53"/>
    <w:rsid w:val="0048248F"/>
    <w:rsid w:val="00491F03"/>
    <w:rsid w:val="0049238C"/>
    <w:rsid w:val="004A21D6"/>
    <w:rsid w:val="004B7418"/>
    <w:rsid w:val="00511C53"/>
    <w:rsid w:val="00525F09"/>
    <w:rsid w:val="0053350F"/>
    <w:rsid w:val="00535910"/>
    <w:rsid w:val="00565472"/>
    <w:rsid w:val="00583AAF"/>
    <w:rsid w:val="005A7862"/>
    <w:rsid w:val="005D6575"/>
    <w:rsid w:val="0064363D"/>
    <w:rsid w:val="006857A6"/>
    <w:rsid w:val="006877AF"/>
    <w:rsid w:val="006B061A"/>
    <w:rsid w:val="006B62E0"/>
    <w:rsid w:val="0074329E"/>
    <w:rsid w:val="00757C46"/>
    <w:rsid w:val="007773CC"/>
    <w:rsid w:val="00796142"/>
    <w:rsid w:val="007E352D"/>
    <w:rsid w:val="00802112"/>
    <w:rsid w:val="00806EF4"/>
    <w:rsid w:val="00810B5C"/>
    <w:rsid w:val="00813D91"/>
    <w:rsid w:val="00857B3B"/>
    <w:rsid w:val="00870D32"/>
    <w:rsid w:val="008B6E87"/>
    <w:rsid w:val="008D242A"/>
    <w:rsid w:val="008F6CB0"/>
    <w:rsid w:val="00986C75"/>
    <w:rsid w:val="009F567A"/>
    <w:rsid w:val="00A63285"/>
    <w:rsid w:val="00A72219"/>
    <w:rsid w:val="00A93461"/>
    <w:rsid w:val="00B1528D"/>
    <w:rsid w:val="00B21F45"/>
    <w:rsid w:val="00B253BA"/>
    <w:rsid w:val="00B87FF7"/>
    <w:rsid w:val="00BA2516"/>
    <w:rsid w:val="00BA7CB2"/>
    <w:rsid w:val="00BC3382"/>
    <w:rsid w:val="00C04303"/>
    <w:rsid w:val="00C307DC"/>
    <w:rsid w:val="00C8036D"/>
    <w:rsid w:val="00CA3237"/>
    <w:rsid w:val="00CE43AB"/>
    <w:rsid w:val="00CF39D4"/>
    <w:rsid w:val="00CF49A9"/>
    <w:rsid w:val="00D23645"/>
    <w:rsid w:val="00D457A5"/>
    <w:rsid w:val="00D709C3"/>
    <w:rsid w:val="00D7227C"/>
    <w:rsid w:val="00DB5741"/>
    <w:rsid w:val="00DC3D22"/>
    <w:rsid w:val="00DF08A1"/>
    <w:rsid w:val="00E04606"/>
    <w:rsid w:val="00E555BD"/>
    <w:rsid w:val="00E71854"/>
    <w:rsid w:val="00E958D8"/>
    <w:rsid w:val="00EC1D72"/>
    <w:rsid w:val="00EE5375"/>
    <w:rsid w:val="00EF6F98"/>
    <w:rsid w:val="00F12967"/>
    <w:rsid w:val="00F1444D"/>
    <w:rsid w:val="00F14E07"/>
    <w:rsid w:val="00F2092C"/>
    <w:rsid w:val="00F27089"/>
    <w:rsid w:val="00F57385"/>
    <w:rsid w:val="00F77DFB"/>
    <w:rsid w:val="00FA2A9A"/>
    <w:rsid w:val="00FB2A94"/>
    <w:rsid w:val="00FF5EBD"/>
    <w:rsid w:val="1A7254B8"/>
    <w:rsid w:val="23CF1510"/>
    <w:rsid w:val="28CDD094"/>
    <w:rsid w:val="2B9CBC63"/>
    <w:rsid w:val="31852C04"/>
    <w:rsid w:val="508E83F3"/>
    <w:rsid w:val="73E8BB64"/>
    <w:rsid w:val="77097367"/>
    <w:rsid w:val="7B24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91F03"/>
    <w:pPr>
      <w:spacing w:after="160" w:line="259" w:lineRule="auto"/>
      <w:ind w:left="720"/>
      <w:contextualSpacing/>
    </w:pPr>
    <w:rPr>
      <w:rFonts w:asciiTheme="minorHAnsi" w:hAnsiTheme="minorHAnsi"/>
      <w:sz w:val="22"/>
    </w:rPr>
  </w:style>
  <w:style w:type="paragraph" w:styleId="BodyText">
    <w:name w:val="Body Text"/>
    <w:basedOn w:val="Normal"/>
    <w:link w:val="BodyTextChar"/>
    <w:uiPriority w:val="1"/>
    <w:semiHidden/>
    <w:unhideWhenUsed/>
    <w:qFormat/>
    <w:rsid w:val="00B1528D"/>
    <w:pPr>
      <w:widowControl w:val="0"/>
      <w:autoSpaceDE w:val="0"/>
      <w:autoSpaceDN w:val="0"/>
      <w:spacing w:line="240" w:lineRule="auto"/>
    </w:pPr>
    <w:rPr>
      <w:rFonts w:eastAsia="Verdana" w:cs="Verdana"/>
      <w:szCs w:val="23"/>
      <w:lang w:eastAsia="en-GB" w:bidi="en-GB"/>
    </w:rPr>
  </w:style>
  <w:style w:type="character" w:customStyle="1" w:styleId="BodyTextChar">
    <w:name w:val="Body Text Char"/>
    <w:basedOn w:val="DefaultParagraphFont"/>
    <w:link w:val="BodyText"/>
    <w:uiPriority w:val="1"/>
    <w:semiHidden/>
    <w:rsid w:val="00B1528D"/>
    <w:rPr>
      <w:rFonts w:eastAsia="Verdana" w:cs="Verdana"/>
      <w:sz w:val="23"/>
      <w:szCs w:val="23"/>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9ECDF5AE3C64181986B32AA9E92EA" ma:contentTypeVersion="11" ma:contentTypeDescription="Create a new document." ma:contentTypeScope="" ma:versionID="b561c8a8264085f12cfdb4fa94b75a5c">
  <xsd:schema xmlns:xsd="http://www.w3.org/2001/XMLSchema" xmlns:xs="http://www.w3.org/2001/XMLSchema" xmlns:p="http://schemas.microsoft.com/office/2006/metadata/properties" xmlns:ns2="015e6726-5ebc-4623-9867-fed4e87d12c1" xmlns:ns3="5e70a06f-6228-4e52-9576-a6cd5b176798" targetNamespace="http://schemas.microsoft.com/office/2006/metadata/properties" ma:root="true" ma:fieldsID="9de45051f16644c331c2ac5f95f3959b" ns2:_="" ns3:_="">
    <xsd:import namespace="015e6726-5ebc-4623-9867-fed4e87d12c1"/>
    <xsd:import namespace="5e70a06f-6228-4e52-9576-a6cd5b176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6726-5ebc-4623-9867-fed4e87d1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0a06f-6228-4e52-9576-a6cd5b176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2E57A-742C-45DB-A2BB-6D7747DFA0E3}"/>
</file>

<file path=customXml/itemProps2.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3.xml><?xml version="1.0" encoding="utf-8"?>
<ds:datastoreItem xmlns:ds="http://schemas.openxmlformats.org/officeDocument/2006/customXml" ds:itemID="{72CE2B7F-EF6A-4D71-99AD-3C236B12DD84}">
  <ds:schemaRefs>
    <ds:schemaRef ds:uri="http://schemas.openxmlformats.org/officeDocument/2006/bibliography"/>
  </ds:schemaRefs>
</ds:datastoreItem>
</file>

<file path=customXml/itemProps4.xml><?xml version="1.0" encoding="utf-8"?>
<ds:datastoreItem xmlns:ds="http://schemas.openxmlformats.org/officeDocument/2006/customXml" ds:itemID="{ACB40A47-0CE3-466E-9656-438017E7B38A}">
  <ds:schemaRefs>
    <ds:schemaRef ds:uri="http://purl.org/dc/dcmitype/"/>
    <ds:schemaRef ds:uri="http://schemas.microsoft.com/office/infopath/2007/PartnerControls"/>
    <ds:schemaRef ds:uri="ed4d4609-06f3-4c29-b080-e75b6ca6a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bb29eaf-4cf6-4c64-b549-426b19ac83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Brendan Nel</cp:lastModifiedBy>
  <cp:revision>7</cp:revision>
  <dcterms:created xsi:type="dcterms:W3CDTF">2020-07-03T16:52:00Z</dcterms:created>
  <dcterms:modified xsi:type="dcterms:W3CDTF">2020-07-08T18:42:00Z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0x0101000739ECDF5AE3C64181986B32AA9E92EA</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